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11390601&amp;originatingDoc=I1648ef671ff611e1bc27967e57e99458&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330996101&amp;originatingDoc=I1648ef671ff611e1bc27967e57e99458&amp;refType=RQ&amp;originationContext=document&amp;vr=3.0&amp;rs=cblt1.0&amp;transitionType=DocumentItem&amp;contextData=(sc.Default)"/>
  <Relationship Id="r9"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10"
    Type="http://schemas.openxmlformats.org/officeDocument/2006/relationships/hyperlink"
    TargetMode="External"
    Target="http://www.westlaw.com/Browse/Home/KeyNumber/405k2651/View.html?docGuid=I1648ef671ff611e1bc27967e57e99458&amp;originationContext=document&amp;vr=3.0&amp;rs=cblt1.0&amp;transitionType=DocumentItem&amp;contextData=(sc.Default)"/>
  <Relationship Id="r11"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12"
    Type="http://schemas.openxmlformats.org/officeDocument/2006/relationships/hyperlink"
    TargetMode="External"
    Target="http://www.westlaw.com/Browse/Home/KeyNumber/405XV/View.html?docGuid=I1648ef671ff611e1bc27967e57e99458&amp;originationContext=document&amp;vr=3.0&amp;rs=cblt1.0&amp;transitionType=DocumentItem&amp;contextData=(sc.Default)"/>
  <Relationship Id="r13"
    Type="http://schemas.openxmlformats.org/officeDocument/2006/relationships/hyperlink"
    TargetMode="External"
    Target="http://www.westlaw.com/Browse/Home/KeyNumber/405XV(C)/View.html?docGuid=I1648ef671ff611e1bc27967e57e99458&amp;originationContext=document&amp;vr=3.0&amp;rs=cblt1.0&amp;transitionType=DocumentItem&amp;contextData=(sc.Default)"/>
  <Relationship Id="r14"
    Type="http://schemas.openxmlformats.org/officeDocument/2006/relationships/hyperlink"
    TargetMode="External"
    Target="http://www.westlaw.com/Browse/Home/KeyNumber/405XV(C)1/View.html?docGuid=I1648ef671ff611e1bc27967e57e99458&amp;originationContext=document&amp;vr=3.0&amp;rs=cblt1.0&amp;transitionType=DocumentItem&amp;contextData=(sc.Default)"/>
  <Relationship Id="r15"
    Type="http://schemas.openxmlformats.org/officeDocument/2006/relationships/hyperlink"
    TargetMode="External"
    Target="http://www.westlaw.com/Browse/Home/KeyNumber/405k2646/View.html?docGuid=I1648ef671ff611e1bc27967e57e99458&amp;originationContext=document&amp;vr=3.0&amp;rs=cblt1.0&amp;transitionType=DocumentItem&amp;contextData=(sc.Default)"/>
  <Relationship Id="r16"
    Type="http://schemas.openxmlformats.org/officeDocument/2006/relationships/hyperlink"
    TargetMode="External"
    Target="http://www.westlaw.com/Browse/Home/KeyNumber/405k2651/View.html?docGuid=I1648ef671ff611e1bc27967e57e99458&amp;originationContext=document&amp;vr=3.0&amp;rs=cblt1.0&amp;transitionType=DocumentItem&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302/View.html?docGuid=I1648ef671ff611e1bc27967e57e99458&amp;originationContext=document&amp;vr=3.0&amp;rs=cblt1.0&amp;transitionType=DocumentItem&amp;contextData=(sc.Default)"/>
  <Relationship Id="r19"
    Type="http://schemas.openxmlformats.org/officeDocument/2006/relationships/hyperlink"
    TargetMode="External"
    Target="http://www.westlaw.com/Browse/Home/KeyNumber/302k214(2)/View.html?docGuid=I1648ef671ff611e1bc27967e57e99458&amp;originationContext=document&amp;vr=3.0&amp;rs=cblt1.0&amp;transitionType=DocumentItem&amp;contextData=(sc.Default)"/>
  <Relationship Id="r20"
    Type="http://schemas.openxmlformats.org/officeDocument/2006/relationships/hyperlink"
    TargetMode="External"
    Target="http://www.westlaw.com/Browse/Home/KeyNumber/302/View.html?docGuid=I1648ef671ff611e1bc27967e57e99458&amp;originationContext=document&amp;vr=3.0&amp;rs=cblt1.0&amp;transitionType=DocumentItem&amp;contextData=(sc.Default)"/>
  <Relationship Id="r21"
    Type="http://schemas.openxmlformats.org/officeDocument/2006/relationships/hyperlink"
    TargetMode="External"
    Target="http://www.westlaw.com/Browse/Home/KeyNumber/302k214(4)/View.html?docGuid=I1648ef671ff611e1bc27967e57e99458&amp;originationContext=document&amp;vr=3.0&amp;rs=cblt1.0&amp;transitionType=DocumentItem&amp;contextData=(sc.Default)"/>
  <Relationship Id="r22"
    Type="http://schemas.openxmlformats.org/officeDocument/2006/relationships/hyperlink"
    TargetMode="External"
    Target="http://www.westlaw.com/Browse/Home/KeyNumber/302/View.html?docGuid=I1648ef671ff611e1bc27967e57e99458&amp;originationContext=document&amp;vr=3.0&amp;rs=cblt1.0&amp;transitionType=DocumentItem&amp;contextData=(sc.Default)"/>
  <Relationship Id="r23"
    Type="http://schemas.openxmlformats.org/officeDocument/2006/relationships/hyperlink"
    TargetMode="External"
    Target="http://www.westlaw.com/Browse/Home/KeyNumber/302V/View.html?docGuid=I1648ef671ff611e1bc27967e57e99458&amp;originationContext=document&amp;vr=3.0&amp;rs=cblt1.0&amp;transitionType=DocumentItem&amp;contextData=(sc.Default)"/>
  <Relationship Id="r24"
    Type="http://schemas.openxmlformats.org/officeDocument/2006/relationships/hyperlink"
    TargetMode="External"
    Target="http://www.westlaw.com/Browse/Home/KeyNumber/302k214/View.html?docGuid=I1648ef671ff611e1bc27967e57e99458&amp;originationContext=document&amp;vr=3.0&amp;rs=cblt1.0&amp;transitionType=DocumentItem&amp;contextData=(sc.Default)"/>
  <Relationship Id="r25"
    Type="http://schemas.openxmlformats.org/officeDocument/2006/relationships/hyperlink"
    TargetMode="External"
    Target="http://www.westlaw.com/Browse/Home/KeyNumber/302k214(2)/View.html?docGuid=I1648ef671ff611e1bc27967e57e99458&amp;originationContext=document&amp;vr=3.0&amp;rs=cblt1.0&amp;transitionType=DocumentItem&amp;contextData=(sc.Default)"/>
  <Relationship Id="r26"
    Type="http://schemas.openxmlformats.org/officeDocument/2006/relationships/hyperlink"
    TargetMode="External"
    Target="http://www.westlaw.com/Browse/Home/KeyNumber/302/View.html?docGuid=I1648ef671ff611e1bc27967e57e99458&amp;originationContext=document&amp;vr=3.0&amp;rs=cblt1.0&amp;transitionType=DocumentItem&amp;contextData=(sc.Default)"/>
  <Relationship Id="r27"
    Type="http://schemas.openxmlformats.org/officeDocument/2006/relationships/hyperlink"
    TargetMode="External"
    Target="http://www.westlaw.com/Browse/Home/KeyNumber/302V/View.html?docGuid=I1648ef671ff611e1bc27967e57e99458&amp;originationContext=document&amp;vr=3.0&amp;rs=cblt1.0&amp;transitionType=DocumentItem&amp;contextData=(sc.Default)"/>
  <Relationship Id="r28"
    Type="http://schemas.openxmlformats.org/officeDocument/2006/relationships/hyperlink"
    TargetMode="External"
    Target="http://www.westlaw.com/Browse/Home/KeyNumber/302k214/View.html?docGuid=I1648ef671ff611e1bc27967e57e99458&amp;originationContext=document&amp;vr=3.0&amp;rs=cblt1.0&amp;transitionType=DocumentItem&amp;contextData=(sc.Default)"/>
  <Relationship Id="r29"
    Type="http://schemas.openxmlformats.org/officeDocument/2006/relationships/hyperlink"
    TargetMode="External"
    Target="http://www.westlaw.com/Browse/Home/KeyNumber/302k214(4)/View.html?docGuid=I1648ef671ff611e1bc27967e57e99458&amp;originationContext=document&amp;vr=3.0&amp;rs=cblt1.0&amp;transitionType=DocumentItem&amp;contextData=(sc.Default)"/>
  <Relationship Id="r30"
    Type="http://schemas.openxmlformats.org/officeDocument/2006/relationships/hyperlink"
    TargetMode="External"
    Target="http://www.westlaw.com/Browse/Home/KeyNumber/30/View.html?docGuid=I1648ef671ff611e1bc27967e57e99458&amp;originationContext=document&amp;vr=3.0&amp;rs=cblt1.0&amp;transitionType=DocumentItem&amp;contextData=(sc.Default)"/>
  <Relationship Id="r31"
    Type="http://schemas.openxmlformats.org/officeDocument/2006/relationships/hyperlink"
    TargetMode="External"
    Target="http://www.westlaw.com/Browse/Home/KeyNumber/30k3279/View.html?docGuid=I1648ef671ff611e1bc27967e57e99458&amp;originationContext=document&amp;vr=3.0&amp;rs=cblt1.0&amp;transitionType=DocumentItem&amp;contextData=(sc.Default)"/>
  <Relationship Id="r32"
    Type="http://schemas.openxmlformats.org/officeDocument/2006/relationships/hyperlink"
    TargetMode="External"
    Target="http://www.westlaw.com/Browse/Home/KeyNumber/30/View.html?docGuid=I1648ef671ff611e1bc27967e57e99458&amp;originationContext=document&amp;vr=3.0&amp;rs=cblt1.0&amp;transitionType=DocumentItem&amp;contextData=(sc.Default)"/>
  <Relationship Id="r33"
    Type="http://schemas.openxmlformats.org/officeDocument/2006/relationships/hyperlink"
    TargetMode="External"
    Target="http://www.westlaw.com/Browse/Home/KeyNumber/30XVI/View.html?docGuid=I1648ef671ff611e1bc27967e57e99458&amp;originationContext=document&amp;vr=3.0&amp;rs=cblt1.0&amp;transitionType=DocumentItem&amp;contextData=(sc.Default)"/>
  <Relationship Id="r34"
    Type="http://schemas.openxmlformats.org/officeDocument/2006/relationships/hyperlink"
    TargetMode="External"
    Target="http://www.westlaw.com/Browse/Home/KeyNumber/30XVI(D)/View.html?docGuid=I1648ef671ff611e1bc27967e57e99458&amp;originationContext=document&amp;vr=3.0&amp;rs=cblt1.0&amp;transitionType=DocumentItem&amp;contextData=(sc.Default)"/>
  <Relationship Id="r35"
    Type="http://schemas.openxmlformats.org/officeDocument/2006/relationships/hyperlink"
    TargetMode="External"
    Target="http://www.westlaw.com/Browse/Home/KeyNumber/30XVI(D)4/View.html?docGuid=I1648ef671ff611e1bc27967e57e99458&amp;originationContext=document&amp;vr=3.0&amp;rs=cblt1.0&amp;transitionType=DocumentItem&amp;contextData=(sc.Default)"/>
  <Relationship Id="r36"
    Type="http://schemas.openxmlformats.org/officeDocument/2006/relationships/hyperlink"
    TargetMode="External"
    Target="http://www.westlaw.com/Browse/Home/KeyNumber/30k3279/View.html?docGuid=I1648ef671ff611e1bc27967e57e99458&amp;originationContext=document&amp;vr=3.0&amp;rs=cblt1.0&amp;transitionType=DocumentItem&amp;contextData=(sc.Default)"/>
  <Relationship Id="r37"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38"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39"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40"
    Type="http://schemas.openxmlformats.org/officeDocument/2006/relationships/hyperlink"
    TargetMode="External"
    Target="http://www.westlaw.com/Browse/Home/KeyNumber/405II/View.html?docGuid=I1648ef671ff611e1bc27967e57e99458&amp;originationContext=document&amp;vr=3.0&amp;rs=cblt1.0&amp;transitionType=DocumentItem&amp;contextData=(sc.Default)"/>
  <Relationship Id="r41"
    Type="http://schemas.openxmlformats.org/officeDocument/2006/relationships/hyperlink"
    TargetMode="External"
    Target="http://www.westlaw.com/Browse/Home/KeyNumber/405II(B)/View.html?docGuid=I1648ef671ff611e1bc27967e57e99458&amp;originationContext=document&amp;vr=3.0&amp;rs=cblt1.0&amp;transitionType=DocumentItem&amp;contextData=(sc.Default)"/>
  <Relationship Id="r42"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43"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44"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45"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46"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47"
    Type="http://schemas.openxmlformats.org/officeDocument/2006/relationships/hyperlink"
    TargetMode="External"
    Target="http://www.westlaw.com/Browse/Home/KeyNumber/405II/View.html?docGuid=I1648ef671ff611e1bc27967e57e99458&amp;originationContext=document&amp;vr=3.0&amp;rs=cblt1.0&amp;transitionType=DocumentItem&amp;contextData=(sc.Default)"/>
  <Relationship Id="r48"
    Type="http://schemas.openxmlformats.org/officeDocument/2006/relationships/hyperlink"
    TargetMode="External"
    Target="http://www.westlaw.com/Browse/Home/KeyNumber/405II(B)/View.html?docGuid=I1648ef671ff611e1bc27967e57e99458&amp;originationContext=document&amp;vr=3.0&amp;rs=cblt1.0&amp;transitionType=DocumentItem&amp;contextData=(sc.Default)"/>
  <Relationship Id="r49"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50"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51"
    Type="http://schemas.openxmlformats.org/officeDocument/2006/relationships/hyperlink"
    TargetMode="External"
    Target="http://www.westlaw.com/Link/RelatedInformation/DocHeadnoteLink?docGuid=I1648ef671ff611e1bc27967e57e99458&amp;headnoteId=202662430200520210622052256&amp;originationContext=document&amp;vr=3.0&amp;rs=cblt1.0&amp;transitionType=CitingReferences&amp;contextData=(sc.Default)"/>
  <Relationship Id="r52"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53"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54"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55"
    Type="http://schemas.openxmlformats.org/officeDocument/2006/relationships/hyperlink"
    TargetMode="External"
    Target="http://www.westlaw.com/Browse/Home/KeyNumber/405II/View.html?docGuid=I1648ef671ff611e1bc27967e57e99458&amp;originationContext=document&amp;vr=3.0&amp;rs=cblt1.0&amp;transitionType=DocumentItem&amp;contextData=(sc.Default)"/>
  <Relationship Id="r56"
    Type="http://schemas.openxmlformats.org/officeDocument/2006/relationships/hyperlink"
    TargetMode="External"
    Target="http://www.westlaw.com/Browse/Home/KeyNumber/405II(B)/View.html?docGuid=I1648ef671ff611e1bc27967e57e99458&amp;originationContext=document&amp;vr=3.0&amp;rs=cblt1.0&amp;transitionType=DocumentItem&amp;contextData=(sc.Default)"/>
  <Relationship Id="r57"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58"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59"
    Type="http://schemas.openxmlformats.org/officeDocument/2006/relationships/hyperlink"
    TargetMode="External"
    Target="http://www.westlaw.com/Link/RelatedInformation/DocHeadnoteLink?docGuid=I1648ef671ff611e1bc27967e57e99458&amp;headnoteId=202662430200620210622052256&amp;originationContext=document&amp;vr=3.0&amp;rs=cblt1.0&amp;transitionType=CitingReferences&amp;contextData=(sc.Default)"/>
  <Relationship Id="r60"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61"
    Type="http://schemas.openxmlformats.org/officeDocument/2006/relationships/hyperlink"
    TargetMode="External"
    Target="http://www.westlaw.com/Browse/Home/KeyNumber/405k2683/View.html?docGuid=I1648ef671ff611e1bc27967e57e99458&amp;originationContext=document&amp;vr=3.0&amp;rs=cblt1.0&amp;transitionType=DocumentItem&amp;contextData=(sc.Default)"/>
  <Relationship Id="r62"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63"
    Type="http://schemas.openxmlformats.org/officeDocument/2006/relationships/hyperlink"
    TargetMode="External"
    Target="http://www.westlaw.com/Browse/Home/KeyNumber/405XV/View.html?docGuid=I1648ef671ff611e1bc27967e57e99458&amp;originationContext=document&amp;vr=3.0&amp;rs=cblt1.0&amp;transitionType=DocumentItem&amp;contextData=(sc.Default)"/>
  <Relationship Id="r64"
    Type="http://schemas.openxmlformats.org/officeDocument/2006/relationships/hyperlink"
    TargetMode="External"
    Target="http://www.westlaw.com/Browse/Home/KeyNumber/405XV(C)/View.html?docGuid=I1648ef671ff611e1bc27967e57e99458&amp;originationContext=document&amp;vr=3.0&amp;rs=cblt1.0&amp;transitionType=DocumentItem&amp;contextData=(sc.Default)"/>
  <Relationship Id="r65"
    Type="http://schemas.openxmlformats.org/officeDocument/2006/relationships/hyperlink"
    TargetMode="External"
    Target="http://www.westlaw.com/Browse/Home/KeyNumber/405XV(C)2/View.html?docGuid=I1648ef671ff611e1bc27967e57e99458&amp;originationContext=document&amp;vr=3.0&amp;rs=cblt1.0&amp;transitionType=DocumentItem&amp;contextData=(sc.Default)"/>
  <Relationship Id="r66"
    Type="http://schemas.openxmlformats.org/officeDocument/2006/relationships/hyperlink"
    TargetMode="External"
    Target="http://www.westlaw.com/Browse/Home/KeyNumber/405k2683/View.html?docGuid=I1648ef671ff611e1bc27967e57e99458&amp;originationContext=document&amp;vr=3.0&amp;rs=cblt1.0&amp;transitionType=DocumentItem&amp;contextData=(sc.Default)"/>
  <Relationship Id="r67"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68"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69"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70"
    Type="http://schemas.openxmlformats.org/officeDocument/2006/relationships/hyperlink"
    TargetMode="External"
    Target="http://www.westlaw.com/Browse/Home/KeyNumber/405/View.html?docGuid=I1648ef671ff611e1bc27967e57e99458&amp;originationContext=document&amp;vr=3.0&amp;rs=cblt1.0&amp;transitionType=DocumentItem&amp;contextData=(sc.Default)"/>
  <Relationship Id="r71"
    Type="http://schemas.openxmlformats.org/officeDocument/2006/relationships/hyperlink"
    TargetMode="External"
    Target="http://www.westlaw.com/Browse/Home/KeyNumber/405II/View.html?docGuid=I1648ef671ff611e1bc27967e57e99458&amp;originationContext=document&amp;vr=3.0&amp;rs=cblt1.0&amp;transitionType=DocumentItem&amp;contextData=(sc.Default)"/>
  <Relationship Id="r72"
    Type="http://schemas.openxmlformats.org/officeDocument/2006/relationships/hyperlink"
    TargetMode="External"
    Target="http://www.westlaw.com/Browse/Home/KeyNumber/405II(B)/View.html?docGuid=I1648ef671ff611e1bc27967e57e99458&amp;originationContext=document&amp;vr=3.0&amp;rs=cblt1.0&amp;transitionType=DocumentItem&amp;contextData=(sc.Default)"/>
  <Relationship Id="r73"
    Type="http://schemas.openxmlformats.org/officeDocument/2006/relationships/hyperlink"
    TargetMode="External"
    Target="http://www.westlaw.com/Browse/Home/KeyNumber/405k1035/View.html?docGuid=I1648ef671ff611e1bc27967e57e99458&amp;originationContext=document&amp;vr=3.0&amp;rs=cblt1.0&amp;transitionType=DocumentItem&amp;contextData=(sc.Default)"/>
  <Relationship Id="r74"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75"
    Type="http://schemas.openxmlformats.org/officeDocument/2006/relationships/hyperlink"
    TargetMode="External"
    Target="http://www.westlaw.com/Link/Document/FullText?findType=h&amp;pubNum=176284&amp;cite=0222698101&amp;originatingDoc=I1648ef671ff611e1bc27967e57e99458&amp;refType=RQ&amp;originationContext=document&amp;vr=3.0&amp;rs=cblt1.0&amp;transitionType=DocumentItem&amp;contextData=(sc.Default)"/>
  <Relationship Id="r76"
    Type="http://schemas.openxmlformats.org/officeDocument/2006/relationships/hyperlink"
    TargetMode="External"
    Target="http://www.westlaw.com/Link/Document/FullText?findType=h&amp;pubNum=176284&amp;cite=0357792501&amp;originatingDoc=I1648ef671ff611e1bc27967e57e99458&amp;refType=RQ&amp;originationContext=document&amp;vr=3.0&amp;rs=cblt1.0&amp;transitionType=DocumentItem&amp;contextData=(sc.Default)"/>
  <Relationship Id="r77"
    Type="http://schemas.openxmlformats.org/officeDocument/2006/relationships/hyperlink"
    TargetMode="External"
    Target="http://www.westlaw.com/Link/Document/FullText?findType=h&amp;pubNum=176284&amp;cite=0282360701&amp;originatingDoc=I1648ef671ff611e1bc27967e57e99458&amp;refType=RQ&amp;originationContext=document&amp;vr=3.0&amp;rs=cblt1.0&amp;transitionType=DocumentItem&amp;contextData=(sc.Default)"/>
  <Relationship Id="r78"
    Type="http://schemas.openxmlformats.org/officeDocument/2006/relationships/hyperlink"
    TargetMode="External"
    Target="http://www.westlaw.com/Link/Document/FullText?findType=h&amp;pubNum=176284&amp;cite=0330996101&amp;originatingDoc=I1648ef671ff611e1bc27967e57e99458&amp;refType=RQ&amp;originationContext=document&amp;vr=3.0&amp;rs=cblt1.0&amp;transitionType=DocumentItem&amp;contextData=(sc.Default)"/>
  <Relationship Id="r79"
    Type="http://schemas.openxmlformats.org/officeDocument/2006/relationships/hyperlink"
    TargetMode="External"
    Target="http://www.westlaw.com/Link/Document/FullText?findType=h&amp;pubNum=176284&amp;cite=0330998001&amp;originatingDoc=I1648ef671ff611e1bc27967e57e99458&amp;refType=RQ&amp;originationContext=document&amp;vr=3.0&amp;rs=cblt1.0&amp;transitionType=DocumentItem&amp;contextData=(sc.Default)"/>
  <Relationship Id="r80"
    Type="http://schemas.openxmlformats.org/officeDocument/2006/relationships/hyperlink"
    TargetMode="External"
    Target="http://www.westlaw.com/Link/Document/FullText?findType=h&amp;pubNum=176284&amp;cite=0169899401&amp;originatingDoc=I1648ef671ff611e1bc27967e57e99458&amp;refType=RQ&amp;originationContext=document&amp;vr=3.0&amp;rs=cblt1.0&amp;transitionType=DocumentItem&amp;contextData=(sc.Default)"/>
  <Relationship Id="r81"
    Type="http://schemas.openxmlformats.org/officeDocument/2006/relationships/hyperlink"
    TargetMode="External"
    Target="http://www.westlaw.com/Link/Document/FullText?findType=h&amp;pubNum=176284&amp;cite=0330996101&amp;originatingDoc=I1648ef671ff611e1bc27967e57e99458&amp;refType=RQ&amp;originationContext=document&amp;vr=3.0&amp;rs=cblt1.0&amp;transitionType=DocumentItem&amp;contextData=(sc.Default)"/>
  <Relationship Id="r82"
    Type="http://schemas.openxmlformats.org/officeDocument/2006/relationships/hyperlink"
    TargetMode="External"
    Target="http://www.westlaw.com/Link/Document/FullText?findType=L&amp;pubNum=1000040&amp;cite=VASTS28.2-1205&amp;originatingDoc=I1648ef671ff611e1bc27967e57e99458&amp;refType=LQ&amp;originationContext=document&amp;vr=3.0&amp;rs=cblt1.0&amp;transitionType=DocumentItem&amp;contextData=(sc.Default)"/>
  <Relationship Id="r83"
    Type="http://schemas.openxmlformats.org/officeDocument/2006/relationships/hyperlink"
    TargetMode="External"
    Target="http://www.westlaw.com/Link/Document/FullText?findType=L&amp;pubNum=1000040&amp;cite=VASTS2.2-4000&amp;originatingDoc=I1648ef671ff611e1bc27967e57e99458&amp;refType=LQ&amp;originationContext=document&amp;vr=3.0&amp;rs=cblt1.0&amp;transitionType=DocumentItem&amp;contextData=(sc.Default)"/>
  <Relationship Id="r84"
    Type="http://schemas.openxmlformats.org/officeDocument/2006/relationships/hyperlink"
    TargetMode="External"
    Target="http://www.westlaw.com/Link/Document/FullText?findType=L&amp;pubNum=1000040&amp;cite=VASTS28.2-1205&amp;originatingDoc=I1648ef671ff611e1bc27967e57e99458&amp;refType=LQ&amp;originationContext=document&amp;vr=3.0&amp;rs=cblt1.0&amp;transitionType=DocumentItem&amp;contextData=(sc.Default)"/>
  <Relationship Id="r85"
    Type="http://schemas.openxmlformats.org/officeDocument/2006/relationships/hyperlink"
    TargetMode="External"
    Target="http://www.westlaw.com/Link/Document/FullText?findType=L&amp;pubNum=1000040&amp;cite=VASTS2.2-4020&amp;originatingDoc=I1648ef671ff611e1bc27967e57e99458&amp;refType=LQ&amp;originationContext=document&amp;vr=3.0&amp;rs=cblt1.0&amp;transitionType=DocumentItem&amp;contextData=(sc.Default)"/>
  <Relationship Id="r86"
    Type="http://schemas.openxmlformats.org/officeDocument/2006/relationships/hyperlink"
    TargetMode="External"
    Target="http://www.westlaw.com/Link/Document/FullText?findType=L&amp;pubNum=1000040&amp;cite=VASTS2.2-4020&amp;originatingDoc=I1648ef671ff611e1bc27967e57e99458&amp;refType=LQ&amp;originationContext=document&amp;vr=3.0&amp;rs=cblt1.0&amp;transitionType=DocumentItem&amp;contextData=(sc.Default)"/>
  <Relationship Id="r87"
    Type="http://schemas.openxmlformats.org/officeDocument/2006/relationships/hyperlink"
    TargetMode="External"
    Target="https://1.next.westlaw.com/Link/RelatedInformation/Flag?documentGuid=I7bf5c668ef6d11dbaf8dafd7ee2b8b26&amp;transitionType=InlineKeyCiteFlags&amp;originationContext=docHeaderFlag&amp;Rank=0&amp;ppcid=6007a22e39354e6aa51844a186cd9760&amp;contextData=(sc.Default)"/>
  <Relationship Id="r88"
    Type="http://schemas.openxmlformats.org/officeDocument/2006/relationships/hyperlink"
    TargetMode="External"
    Target="http://www.westlaw.com/Link/Document/FullText?findType=Y&amp;serNum=2011997984&amp;pubNum=0000711&amp;originatingDoc=I1648ef671ff611e1bc27967e57e99458&amp;refType=RP&amp;fi=co_pp_sp_711_223&amp;originationContext=document&amp;vr=3.0&amp;rs=cblt1.0&amp;transitionType=DocumentItem&amp;contextData=(sc.Default)#co_pp_sp_711_223"/>
  <Relationship Id="r89"
    Type="http://schemas.openxmlformats.org/officeDocument/2006/relationships/hyperlink"
    TargetMode="External"
    Target="http://www.westlaw.com/Link/Document/FullText?findType=Y&amp;serNum=2006963390&amp;pubNum=0000711&amp;originatingDoc=I1648ef671ff611e1bc27967e57e99458&amp;refType=RP&amp;fi=co_pp_sp_711_42&amp;originationContext=document&amp;vr=3.0&amp;rs=cblt1.0&amp;transitionType=DocumentItem&amp;contextData=(sc.Default)#co_pp_sp_711_42"/>
  <Relationship Id="r90"
    Type="http://schemas.openxmlformats.org/officeDocument/2006/relationships/image"
    Target="images/3.png"/>
  <Relationship Id="r91"
    Type="http://schemas.openxmlformats.org/officeDocument/2006/relationships/hyperlink"
    TargetMode="External"
    Target="http://www.westlaw.com/Link/Document/FullText?findType=L&amp;pubNum=1000040&amp;cite=VASTS2.2-4026&amp;originatingDoc=I1648ef671ff611e1bc27967e57e99458&amp;refType=LQ&amp;originationContext=document&amp;vr=3.0&amp;rs=cblt1.0&amp;transitionType=DocumentItem&amp;contextData=(sc.Default)"/>
  <Relationship Id="r92"
    Type="http://schemas.openxmlformats.org/officeDocument/2006/relationships/hyperlink"
    TargetMode="External"
    Target="https://1.next.westlaw.com/Link/RelatedInformation/Flag?documentGuid=I178c139f03de11da8ac8f235252e36df&amp;transitionType=InlineKeyCiteFlags&amp;originationContext=docHeaderFlag&amp;Rank=0&amp;ppcid=6007a22e39354e6aa51844a186cd9760&amp;contextData=(sc.Default)"/>
  <Relationship Id="r93"
    Type="http://schemas.openxmlformats.org/officeDocument/2006/relationships/hyperlink"
    TargetMode="External"
    Target="http://www.westlaw.com/Link/Document/FullText?findType=Y&amp;serNum=2005451913&amp;pubNum=0000711&amp;originatingDoc=I1648ef671ff611e1bc27967e57e99458&amp;refType=RP&amp;fi=co_pp_sp_711_11&amp;originationContext=document&amp;vr=3.0&amp;rs=cblt1.0&amp;transitionType=DocumentItem&amp;contextData=(sc.Default)#co_pp_sp_711_11"/>
  <Relationship Id="r94"
    Type="http://schemas.openxmlformats.org/officeDocument/2006/relationships/hyperlink"
    TargetMode="External"
    Target="https://1.next.westlaw.com/Link/RelatedInformation/Flag?documentGuid=I2dd2831b02e811da8ac8f235252e36df&amp;transitionType=InlineKeyCiteFlags&amp;originationContext=docHeaderFlag&amp;Rank=0&amp;ppcid=6007a22e39354e6aa51844a186cd9760&amp;contextData=(sc.Default)"/>
  <Relationship Id="r95"
    Type="http://schemas.openxmlformats.org/officeDocument/2006/relationships/hyperlink"
    TargetMode="External"
    Target="http://www.westlaw.com/Link/Document/FullText?findType=Y&amp;serNum=1986131232&amp;pubNum=0000711&amp;originatingDoc=I1648ef671ff611e1bc27967e57e99458&amp;refType=RP&amp;fi=co_pp_sp_711_902&amp;originationContext=document&amp;vr=3.0&amp;rs=cblt1.0&amp;transitionType=DocumentItem&amp;contextData=(sc.Default)#co_pp_sp_711_902"/>
  <Relationship Id="r96"
    Type="http://schemas.openxmlformats.org/officeDocument/2006/relationships/hyperlink"
    TargetMode="External"
    Target="http://www.westlaw.com/Link/Document/FullText?findType=Y&amp;serNum=2019574767&amp;pubNum=0000711&amp;originatingDoc=I1648ef671ff611e1bc27967e57e99458&amp;refType=RP&amp;fi=co_pp_sp_711_347&amp;originationContext=document&amp;vr=3.0&amp;rs=cblt1.0&amp;transitionType=DocumentItem&amp;contextData=(sc.Default)#co_pp_sp_711_347"/>
  <Relationship Id="r97"
    Type="http://schemas.openxmlformats.org/officeDocument/2006/relationships/hyperlink"
    TargetMode="External"
    Target="https://1.next.westlaw.com/Link/RelatedInformation/Flag?documentGuid=I178c139f03de11da8ac8f235252e36df&amp;transitionType=InlineKeyCiteFlags&amp;originationContext=docHeaderFlag&amp;Rank=0&amp;ppcid=6007a22e39354e6aa51844a186cd9760&amp;contextData=(sc.Default)"/>
  <Relationship Id="r98"
    Type="http://schemas.openxmlformats.org/officeDocument/2006/relationships/hyperlink"
    TargetMode="External"
    Target="http://www.westlaw.com/Link/Document/FullText?findType=Y&amp;serNum=2005451913&amp;pubNum=711&amp;originatingDoc=I1648ef671ff611e1bc27967e57e99458&amp;refType=RP&amp;fi=co_pp_sp_711_11&amp;originationContext=document&amp;vr=3.0&amp;rs=cblt1.0&amp;transitionType=DocumentItem&amp;contextData=(sc.Default)#co_pp_sp_711_11"/>
  <Relationship Id="r99"
    Type="http://schemas.openxmlformats.org/officeDocument/2006/relationships/hyperlink"
    TargetMode="External"
    Target="https://1.next.westlaw.com/Link/RelatedInformation/Flag?documentGuid=I2dd2831b02e811da8ac8f235252e36df&amp;transitionType=InlineKeyCiteFlags&amp;originationContext=docHeaderFlag&amp;Rank=0&amp;ppcid=6007a22e39354e6aa51844a186cd9760&amp;contextData=(sc.Default)"/>
  <Relationship Id="r100"
    Type="http://schemas.openxmlformats.org/officeDocument/2006/relationships/hyperlink"
    TargetMode="External"
    Target="http://www.westlaw.com/Link/Document/FullText?findType=Y&amp;serNum=1986131232&amp;pubNum=0000711&amp;originatingDoc=I1648ef671ff611e1bc27967e57e99458&amp;refType=RP&amp;fi=co_pp_sp_711_902&amp;originationContext=document&amp;vr=3.0&amp;rs=cblt1.0&amp;transitionType=DocumentItem&amp;contextData=(sc.Default)#co_pp_sp_711_902"/>
  <Relationship Id="r101"
    Type="http://schemas.openxmlformats.org/officeDocument/2006/relationships/hyperlink"
    TargetMode="External"
    Target="https://1.next.westlaw.com/Link/RelatedInformation/Flag?documentGuid=I2dd2831b02e811da8ac8f235252e36df&amp;transitionType=InlineKeyCiteFlags&amp;originationContext=docHeaderFlag&amp;Rank=0&amp;ppcid=6007a22e39354e6aa51844a186cd9760&amp;contextData=(sc.Default)"/>
  <Relationship Id="r102"
    Type="http://schemas.openxmlformats.org/officeDocument/2006/relationships/hyperlink"
    TargetMode="External"
    Target="http://www.westlaw.com/Link/Document/FullText?findType=Y&amp;serNum=1986131232&amp;pubNum=711&amp;originatingDoc=I1648ef671ff611e1bc27967e57e99458&amp;refType=RP&amp;fi=co_pp_sp_711_903&amp;originationContext=document&amp;vr=3.0&amp;rs=cblt1.0&amp;transitionType=DocumentItem&amp;contextData=(sc.Default)#co_pp_sp_711_903"/>
  <Relationship Id="r103"
    Type="http://schemas.openxmlformats.org/officeDocument/2006/relationships/hyperlink"
    TargetMode="External"
    Target="https://1.next.westlaw.com/Link/RelatedInformation/Flag?documentGuid=Ic9a1c4006c4511e0a8a2938374af9660&amp;transitionType=InlineKeyCiteFlags&amp;originationContext=docHeaderFlag&amp;Rank=0&amp;ppcid=6007a22e39354e6aa51844a186cd9760&amp;contextData=(sc.Default)"/>
  <Relationship Id="r104"
    Type="http://schemas.openxmlformats.org/officeDocument/2006/relationships/hyperlink"
    TargetMode="External"
    Target="http://www.westlaw.com/Link/Document/FullText?findType=Y&amp;serNum=2025134828&amp;pubNum=0000711&amp;originatingDoc=I1648ef671ff611e1bc27967e57e99458&amp;refType=RP&amp;fi=co_pp_sp_711_155&amp;originationContext=document&amp;vr=3.0&amp;rs=cblt1.0&amp;transitionType=DocumentItem&amp;contextData=(sc.Default)#co_pp_sp_711_155"/>
  <Relationship Id="r105"
    Type="http://schemas.openxmlformats.org/officeDocument/2006/relationships/hyperlink"
    TargetMode="External"
    Target="http://www.westlaw.com/Link/Document/FullText?findType=Y&amp;serNum=1981150714&amp;pubNum=0000711&amp;originatingDoc=I1648ef671ff611e1bc27967e57e99458&amp;refType=RP&amp;fi=co_pp_sp_711_598&amp;originationContext=document&amp;vr=3.0&amp;rs=cblt1.0&amp;transitionType=DocumentItem&amp;contextData=(sc.Default)#co_pp_sp_711_598"/>
  <Relationship Id="r106"
    Type="http://schemas.openxmlformats.org/officeDocument/2006/relationships/hyperlink"
    TargetMode="External"
    Target="http://www.westlaw.com/Link/Document/FullText?findType=Y&amp;serNum=2019574767&amp;pubNum=0000711&amp;originatingDoc=I1648ef671ff611e1bc27967e57e99458&amp;refType=RP&amp;fi=co_pp_sp_711_347&amp;originationContext=document&amp;vr=3.0&amp;rs=cblt1.0&amp;transitionType=DocumentItem&amp;contextData=(sc.Default)#co_pp_sp_711_347"/>
  <Relationship Id="r107"
    Type="http://schemas.openxmlformats.org/officeDocument/2006/relationships/hyperlink"
    TargetMode="External"
    Target="https://1.next.westlaw.com/Link/RelatedInformation/Flag?documentGuid=I178c139f03de11da8ac8f235252e36df&amp;transitionType=InlineKeyCiteFlags&amp;originationContext=docHeaderFlag&amp;Rank=0&amp;ppcid=6007a22e39354e6aa51844a186cd9760&amp;contextData=(sc.Default)"/>
  <Relationship Id="r108"
    Type="http://schemas.openxmlformats.org/officeDocument/2006/relationships/hyperlink"
    TargetMode="External"
    Target="http://www.westlaw.com/Link/Document/FullText?findType=Y&amp;serNum=2005451913&amp;pubNum=711&amp;originatingDoc=I1648ef671ff611e1bc27967e57e99458&amp;refType=RP&amp;fi=co_pp_sp_711_11&amp;originationContext=document&amp;vr=3.0&amp;rs=cblt1.0&amp;transitionType=DocumentItem&amp;contextData=(sc.Default)#co_pp_sp_711_11"/>
  <Relationship Id="r109"
    Type="http://schemas.openxmlformats.org/officeDocument/2006/relationships/hyperlink"
    TargetMode="External"
    Target="https://1.next.westlaw.com/Link/RelatedInformation/Flag?documentGuid=I2dd2831b02e811da8ac8f235252e36df&amp;transitionType=InlineKeyCiteFlags&amp;originationContext=docHeaderFlag&amp;Rank=0&amp;ppcid=6007a22e39354e6aa51844a186cd9760&amp;contextData=(sc.Default)"/>
  <Relationship Id="r110"
    Type="http://schemas.openxmlformats.org/officeDocument/2006/relationships/hyperlink"
    TargetMode="External"
    Target="http://www.westlaw.com/Link/Document/FullText?findType=Y&amp;serNum=1986131232&amp;pubNum=711&amp;originatingDoc=I1648ef671ff611e1bc27967e57e99458&amp;refType=RP&amp;fi=co_pp_sp_711_902&amp;originationContext=document&amp;vr=3.0&amp;rs=cblt1.0&amp;transitionType=DocumentItem&amp;contextData=(sc.Default)#co_pp_sp_711_902"/>
  <Relationship Id="r111"
    Type="http://schemas.openxmlformats.org/officeDocument/2006/relationships/image"
    Target="images/4.png"/>
  <Relationship Id="r112"
    Type="http://schemas.openxmlformats.org/officeDocument/2006/relationships/hyperlink"
    TargetMode="External"
    Target="http://www.westlaw.com/Link/Document/FullText?findType=L&amp;pubNum=1000040&amp;cite=VASTS28.2-1205&amp;originatingDoc=I1648ef671ff611e1bc27967e57e99458&amp;refType=LQ&amp;originationContext=document&amp;vr=3.0&amp;rs=cblt1.0&amp;transitionType=DocumentItem&amp;contextData=(sc.Default)"/>
  <Relationship Id="r113"
    Type="http://schemas.openxmlformats.org/officeDocument/2006/relationships/hyperlink"
    TargetMode="External"
    Target="http://www.westlaw.com/Link/Document/FullText?findType=L&amp;pubNum=1000040&amp;cite=VASTS28.2-1205&amp;originatingDoc=I1648ef671ff611e1bc27967e57e99458&amp;refType=LQ&amp;originationContext=document&amp;vr=3.0&amp;rs=cblt1.0&amp;transitionType=DocumentItem&amp;contextData=(sc.Default)"/>
  <Relationship Id="r114"
    Type="http://schemas.openxmlformats.org/officeDocument/2006/relationships/hyperlink"
    TargetMode="External"
    Target="http://www.westlaw.com/Link/Document/FullText?findType=L&amp;pubNum=1000040&amp;cite=VASTS28.2-1205&amp;originatingDoc=I1648ef671ff611e1bc27967e57e99458&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040&amp;cite=VASTS2.2-4020&amp;originatingDoc=I1648ef671ff611e1bc27967e57e99458&amp;refType=LQ&amp;originationContext=document&amp;vr=3.0&amp;rs=cblt1.0&amp;transitionType=DocumentItem&amp;contextData=(sc.Default)"/>
  <Relationship Id="r116"
    Type="http://schemas.openxmlformats.org/officeDocument/2006/relationships/hyperlink"
    TargetMode="External"
    Target="http://www.westlaw.com/Link/Document/FullText?findType=Y&amp;serNum=2008836802&amp;pubNum=0000711&amp;originatingDoc=I1648ef671ff611e1bc27967e57e99458&amp;refType=RP&amp;fi=co_pp_sp_711_89&amp;originationContext=document&amp;vr=3.0&amp;rs=cblt1.0&amp;transitionType=DocumentItem&amp;contextData=(sc.Default)#co_pp_sp_711_89"/>
  <Relationship Id="r117"
    Type="http://schemas.openxmlformats.org/officeDocument/2006/relationships/hyperlink"
    TargetMode="External"
    Target="http://www.westlaw.com/Link/Document/FullText?findType=L&amp;pubNum=1000293&amp;cite=VACNART11S1&amp;originatingDoc=I1648ef671ff611e1bc27967e57e99458&amp;refType=LQ&amp;originationContext=document&amp;vr=3.0&amp;rs=cblt1.0&amp;transitionType=DocumentItem&amp;contextData=(sc.Default)"/>
  <Relationship Id="r118"
    Type="http://schemas.openxmlformats.org/officeDocument/2006/relationships/hyperlink"
    TargetMode="External"
    Target="http://www.westlaw.com/Link/Document/FullText?findType=L&amp;pubNum=1000040&amp;cite=VASTS2.2-4020&amp;originatingDoc=I1648ef671ff611e1bc27967e57e99458&amp;refType=LQ&amp;originationContext=document&amp;vr=3.0&amp;rs=cblt1.0&amp;transitionType=DocumentItem&amp;contextData=(sc.Default)"/>
  <Relationship Id="r119"
    Type="http://schemas.openxmlformats.org/officeDocument/2006/relationships/hyperlink"
    TargetMode="External"
    Target="http://www.westlaw.com/Link/Document/FullText?findType=L&amp;pubNum=1000040&amp;cite=VASTS2.2-4019&amp;originatingDoc=I1648ef671ff611e1bc27967e57e99458&amp;refType=L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648ef671ff611e1bc27967e57e99458_Targe"/>
      <w:bookmarkEnd w:id="1"/>
    </w:p>
    <w:bookmarkEnd w:id="0"/>
    <w:p>
      <w:pPr>
        <w:spacing w:before="0" w:after="0" w:line="275" w:lineRule="atLeast"/>
        <w:jc w:val="center"/>
      </w:pPr>
      <w:r>
        <w:rPr>
          <w:rFonts w:ascii="georgia" w:hAnsi="georgia"/>
          <w:color w:val="000000"/>
          <w:sz w:val="20"/>
        </w:rPr>
        <w:t>59 Va.App. 168</w:t>
      </w:r>
    </w:p>
    <w:p>
      <w:pPr>
        <w:spacing w:before="0" w:after="0" w:line="275" w:lineRule="atLeast"/>
        <w:jc w:val="center"/>
      </w:pPr>
      <w:r>
        <w:rPr>
          <w:rFonts w:ascii="georgia" w:hAnsi="georgia"/>
          <w:color w:val="000000"/>
          <w:sz w:val="20"/>
        </w:rPr>
        <w:t>Court of Appeals of Virginia,</w:t>
      </w:r>
    </w:p>
    <w:p>
      <w:pPr>
        <w:spacing w:before="0" w:after="0" w:line="275" w:lineRule="atLeast"/>
        <w:jc w:val="center"/>
      </w:pPr>
      <w:r>
        <w:rPr>
          <w:rFonts w:ascii="georgia" w:hAnsi="georgia"/>
          <w:color w:val="000000"/>
          <w:sz w:val="20"/>
        </w:rPr>
        <w:t>Chesapeake.</w:t>
      </w:r>
    </w:p>
    <w:p>
      <w:pPr>
        <w:spacing w:before="200" w:after="0" w:line="300" w:lineRule="atLeast"/>
        <w:ind w:left="100" w:right="100" w:firstLine="0"/>
        <w:jc w:val="center"/>
      </w:pPr>
      <w:r>
        <w:rPr>
          <w:rFonts w:ascii="georgia" w:hAnsi="georgia"/>
          <w:color w:val="252525"/>
          <w:sz w:val="20"/>
        </w:rPr>
        <w:t>Michael D. WILLS and Todd Solomon</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VIRGINIA MARINE RESOURCES COMMISSION, Dirk Sanford and Charles Gregory.</w:t>
      </w:r>
    </w:p>
    <w:p>
      <w:pPr>
        <w:pBdr>
          <w:left w:val="none" w:space="8"/>
        </w:pBdr>
        <w:spacing w:before="200" w:after="0" w:line="275" w:lineRule="atLeast"/>
        <w:ind w:left="150" w:right="0" w:firstLine="0"/>
        <w:jc w:val="center"/>
      </w:pPr>
      <w:r>
        <w:rPr>
          <w:rFonts w:ascii="georgia" w:hAnsi="georgia"/>
          <w:color w:val="000000"/>
          <w:sz w:val="20"/>
        </w:rPr>
        <w:t>Record No. 2638–09–1.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 6, 2011.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Objectors sought review of decision of Virginia Marine Resources Commission (VMRC) granting pound net permit applications. The Circuit Court, City of Virginia Beach, </w:t>
      </w:r>
      <w:hyperlink r:id="r7">
        <w:r>
          <w:rPr>
            <w:rFonts w:ascii="Times New Roman" w:hAnsi="Times New Roman"/>
            <w:color w:val="000000"/>
            <w:sz w:val="20"/>
          </w:rPr>
          <w:t>H. Thomas Padrick, Jr.</w:t>
        </w:r>
      </w:hyperlink>
      <w:r>
        <w:rPr>
          <w:rFonts w:ascii="Times New Roman" w:hAnsi="Times New Roman"/>
          <w:color w:val="000000"/>
          <w:sz w:val="20"/>
        </w:rPr>
        <w:t>, J., dismissed appeal. Objectors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72026624302_1">
        <w:r>
          <w:rPr>
            <w:rFonts w:ascii="Times New Roman" w:hAnsi="Times New Roman"/>
            <w:b/>
            <w:color w:val="000000"/>
            <w:sz w:val="20"/>
          </w:rPr>
          <w:t>[Holding:]</w:t>
        </w:r>
      </w:hyperlink>
      <w:r>
        <w:rPr>
          <w:rFonts w:ascii="Times New Roman" w:hAnsi="Times New Roman"/>
          <w:color w:val="000000"/>
          <w:sz w:val="20"/>
        </w:rPr>
        <w:t xml:space="preserve"> The Court of Appeals, </w:t>
      </w:r>
      <w:hyperlink r:id="r8">
        <w:r>
          <w:rPr>
            <w:rFonts w:ascii="Times New Roman" w:hAnsi="Times New Roman"/>
            <w:color w:val="000000"/>
            <w:sz w:val="20"/>
          </w:rPr>
          <w:t>Walter S. Felton, Jr.</w:t>
        </w:r>
      </w:hyperlink>
      <w:r>
        <w:rPr>
          <w:rFonts w:ascii="Times New Roman" w:hAnsi="Times New Roman"/>
          <w:color w:val="000000"/>
          <w:sz w:val="20"/>
        </w:rPr>
        <w:t>, C.J., held that objectors lacked standing to challenge decision of VMRC.</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6624302001_1"/>
      <w:bookmarkStart w:id="7" w:name="co_headnotesTable_1"/>
      <w:tr>
        <w:tblPrEx/>
        <w:trPr/>
        <w:tc>
          <w:tcPr>
            <w:tcMar>
              <w:left w:w="30" w:type="dxa"/>
              <w:right w:w="30" w:type="dxa"/>
            </w:tcMar>
            <w:vAlign w:val="top"/>
          </w:tcPr>
          <w:p>
            <w:pPr>
              <w:spacing w:before="0" w:after="0" w:line="275" w:lineRule="atLeast"/>
            </w:pPr>
            <w:bookmarkStart w:id="8" w:name="co_anchor_F12026624302_1"/>
            <w:bookmarkStart w:id="9" w:name="co_anchor_headNote_[1]_1"/>
            <w:hyperlink w:anchor="co_anchor_B12026624302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Title and rights held in public trust</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5">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6">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Pursuant to the “public trust doctrine,” the State holds the land lying beneath public waters as trustee for the benefit of all citizens; as trustee, the State is responsible for proper management of the resource to ensure the preservation and protection of all appropriate current and potential future uses, including potentially conflicting uses, by the public.</w:t>
            </w:r>
          </w:p>
        </w:tc>
      </w:tr>
    </w:tbl>
    <w:p>
      <w:pPr>
        <w:spacing w:before="0" w:after="0" w:line="240" w:lineRule="auto"/>
        <w:rPr>
          <w:sz w:val="20"/>
        </w:rPr>
      </w:pPr>
    </w:p>
    <w:tbl>
      <w:tblPr>
        <w:tblInd w:w="30" w:type="dxa"/>
        <w:tblLayout w:type="fixed"/>
      </w:tblPr>
      <w:tblGrid>
        <w:gridCol w:w="600"/>
        <w:gridCol w:w="4035"/>
      </w:tblGrid>
      <w:bookmarkStart w:id="10" w:name="co_headnoteId_2026624302001202106220522"/>
      <w:bookmarkStart w:id="11" w:name="co_anchor_2026624302002_1"/>
      <w:bookmarkStart w:id="12" w:name="co_headnotesTable_0_1"/>
      <w:tr>
        <w:tblPrEx/>
        <w:trPr/>
        <w:tc>
          <w:tcPr>
            <w:tcMar>
              <w:left w:w="30" w:type="dxa"/>
              <w:right w:w="30" w:type="dxa"/>
            </w:tcMar>
            <w:vAlign w:val="top"/>
          </w:tcPr>
          <w:p>
            <w:pPr>
              <w:spacing w:before="0" w:after="0" w:line="275" w:lineRule="atLeast"/>
            </w:pPr>
            <w:bookmarkStart w:id="13" w:name="co_anchor_F22026624302_1"/>
            <w:bookmarkStart w:id="14" w:name="co_anchor_headNote_[2]_1"/>
            <w:hyperlink w:anchor="co_anchor_B22026624302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Pleading</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Facts well pleaded</w:t>
              </w:r>
            </w:hyperlink>
          </w:p>
          <w:p>
            <w:pPr>
              <w:pBdr>
                <w:bottom w:val="none" w:space="2"/>
              </w:pBdr>
              <w:spacing w:before="0" w:after="0" w:line="275" w:lineRule="atLeast"/>
            </w:pPr>
            <w:hyperlink r:id="r20">
              <w:r>
                <w:rPr>
                  <w:rFonts w:ascii="Times New Roman" w:hAnsi="Times New Roman"/>
                  <w:b/>
                  <w:color w:val="000000"/>
                  <w:sz w:val="20"/>
                </w:rPr>
                <w:t>Pleading</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1">
              <w:r>
                <w:rPr>
                  <w:rFonts w:ascii="Times New Roman" w:hAnsi="Times New Roman"/>
                  <w:color w:val="000000"/>
                  <w:sz w:val="20"/>
                </w:rPr>
                <w:t>Inferences and conclusions of fact</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23">
              <w:r>
                <w:rPr>
                  <w:rFonts w:ascii="Times New Roman" w:hAnsi="Times New Roman"/>
                  <w:color w:val="000000"/>
                  <w:sz w:val="18"/>
                </w:rPr>
                <w:t>302V</w:t>
              </w:r>
            </w:hyperlink>
            <w:r>
              <w:rPr>
                <w:rFonts w:ascii="Times New Roman" w:hAnsi="Times New Roman"/>
                <w:color w:val="000000"/>
                <w:sz w:val="18"/>
              </w:rPr>
              <w:t>Demurrer or Exception</w:t>
            </w:r>
          </w:p>
          <w:p>
            <w:pPr>
              <w:spacing w:before="0" w:after="0" w:line="255" w:lineRule="atLeast"/>
            </w:pPr>
            <w:hyperlink r:id="r24">
              <w:r>
                <w:rPr>
                  <w:rFonts w:ascii="Times New Roman" w:hAnsi="Times New Roman"/>
                  <w:color w:val="000000"/>
                  <w:sz w:val="18"/>
                </w:rPr>
                <w:t>302k214</w:t>
              </w:r>
            </w:hyperlink>
            <w:r>
              <w:rPr>
                <w:rFonts w:ascii="Times New Roman" w:hAnsi="Times New Roman"/>
                <w:color w:val="000000"/>
                <w:sz w:val="18"/>
              </w:rPr>
              <w:t>Admissions by Demurrer</w:t>
            </w:r>
          </w:p>
          <w:p>
            <w:pPr>
              <w:spacing w:before="0" w:after="0" w:line="255" w:lineRule="atLeast"/>
            </w:pPr>
            <w:hyperlink r:id="r25">
              <w:r>
                <w:rPr>
                  <w:rFonts w:ascii="Times New Roman" w:hAnsi="Times New Roman"/>
                  <w:color w:val="000000"/>
                  <w:sz w:val="18"/>
                </w:rPr>
                <w:t>302k214(2)</w:t>
              </w:r>
            </w:hyperlink>
            <w:r>
              <w:rPr>
                <w:rFonts w:ascii="Times New Roman" w:hAnsi="Times New Roman"/>
                <w:color w:val="000000"/>
                <w:sz w:val="18"/>
              </w:rPr>
              <w:t>Facts well pleaded</w:t>
            </w:r>
          </w:p>
          <w:p>
            <w:pPr>
              <w:spacing w:before="0" w:after="0" w:line="255" w:lineRule="atLeast"/>
            </w:pPr>
            <w:hyperlink r:id="r26">
              <w:r>
                <w:rPr>
                  <w:rFonts w:ascii="Times New Roman" w:hAnsi="Times New Roman"/>
                  <w:color w:val="000000"/>
                  <w:sz w:val="18"/>
                </w:rPr>
                <w:t>302</w:t>
              </w:r>
            </w:hyperlink>
            <w:r>
              <w:rPr>
                <w:rFonts w:ascii="Times New Roman" w:hAnsi="Times New Roman"/>
                <w:color w:val="000000"/>
                <w:sz w:val="18"/>
              </w:rPr>
              <w:t>Pleading</w:t>
            </w:r>
          </w:p>
          <w:p>
            <w:pPr>
              <w:spacing w:before="0" w:after="0" w:line="255" w:lineRule="atLeast"/>
            </w:pPr>
            <w:hyperlink r:id="r27">
              <w:r>
                <w:rPr>
                  <w:rFonts w:ascii="Times New Roman" w:hAnsi="Times New Roman"/>
                  <w:color w:val="000000"/>
                  <w:sz w:val="18"/>
                </w:rPr>
                <w:t>302V</w:t>
              </w:r>
            </w:hyperlink>
            <w:r>
              <w:rPr>
                <w:rFonts w:ascii="Times New Roman" w:hAnsi="Times New Roman"/>
                <w:color w:val="000000"/>
                <w:sz w:val="18"/>
              </w:rPr>
              <w:t>Demurrer or Exception</w:t>
            </w:r>
          </w:p>
          <w:p>
            <w:pPr>
              <w:spacing w:before="0" w:after="0" w:line="255" w:lineRule="atLeast"/>
            </w:pPr>
            <w:hyperlink r:id="r28">
              <w:r>
                <w:rPr>
                  <w:rFonts w:ascii="Times New Roman" w:hAnsi="Times New Roman"/>
                  <w:color w:val="000000"/>
                  <w:sz w:val="18"/>
                </w:rPr>
                <w:t>302k214</w:t>
              </w:r>
            </w:hyperlink>
            <w:r>
              <w:rPr>
                <w:rFonts w:ascii="Times New Roman" w:hAnsi="Times New Roman"/>
                <w:color w:val="000000"/>
                <w:sz w:val="18"/>
              </w:rPr>
              <w:t>Admissions by Demurrer</w:t>
            </w:r>
          </w:p>
          <w:p>
            <w:pPr>
              <w:spacing w:before="0" w:after="0" w:line="255" w:lineRule="atLeast"/>
            </w:pPr>
            <w:hyperlink r:id="r29">
              <w:r>
                <w:rPr>
                  <w:rFonts w:ascii="Times New Roman" w:hAnsi="Times New Roman"/>
                  <w:color w:val="000000"/>
                  <w:sz w:val="18"/>
                </w:rPr>
                <w:t>302k214(4)</w:t>
              </w:r>
            </w:hyperlink>
            <w:r>
              <w:rPr>
                <w:rFonts w:ascii="Times New Roman" w:hAnsi="Times New Roman"/>
                <w:color w:val="000000"/>
                <w:sz w:val="18"/>
              </w:rPr>
              <w:t>Inferences and conclusions of fact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demurrer admits the truth of the facts alleged in the pleading to which it is addressed, as well as any facts that may be reasonably and fairly implied and inferred from those facts.</w:t>
            </w:r>
          </w:p>
        </w:tc>
      </w:tr>
    </w:tbl>
    <w:p>
      <w:pPr>
        <w:spacing w:before="0" w:after="0" w:line="240" w:lineRule="auto"/>
        <w:rPr>
          <w:sz w:val="20"/>
        </w:rPr>
      </w:pPr>
    </w:p>
    <w:tbl>
      <w:tblPr>
        <w:tblInd w:w="30" w:type="dxa"/>
        <w:tblLayout w:type="fixed"/>
      </w:tblPr>
      <w:tblGrid>
        <w:gridCol w:w="600"/>
        <w:gridCol w:w="4035"/>
      </w:tblGrid>
      <w:bookmarkStart w:id="15" w:name="co_headnoteId_2026624302002202106220522"/>
      <w:bookmarkStart w:id="16" w:name="co_anchor_2026624302003_1"/>
      <w:bookmarkStart w:id="17" w:name="co_headnotesTable_1_1"/>
      <w:tr>
        <w:tblPrEx/>
        <w:trPr/>
        <w:tc>
          <w:tcPr>
            <w:tcMar>
              <w:left w:w="30" w:type="dxa"/>
              <w:right w:w="30" w:type="dxa"/>
            </w:tcMar>
            <w:vAlign w:val="top"/>
          </w:tcPr>
          <w:p>
            <w:pPr>
              <w:spacing w:before="0" w:after="0" w:line="275" w:lineRule="atLeast"/>
            </w:pPr>
            <w:bookmarkStart w:id="18" w:name="co_anchor_F32026624302_1"/>
            <w:bookmarkStart w:id="19" w:name="co_anchor_headNote_[3]_1"/>
            <w:hyperlink w:anchor="co_anchor_B32026624302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Objections and exceptions;  demurrer</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3">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4">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5">
              <w:r>
                <w:rPr>
                  <w:rFonts w:ascii="Times New Roman" w:hAnsi="Times New Roman"/>
                  <w:color w:val="000000"/>
                  <w:sz w:val="18"/>
                </w:rPr>
                <w:t>30XVI(D)4</w:t>
              </w:r>
            </w:hyperlink>
            <w:r>
              <w:rPr>
                <w:rFonts w:ascii="Times New Roman" w:hAnsi="Times New Roman"/>
                <w:color w:val="000000"/>
                <w:sz w:val="18"/>
              </w:rPr>
              <w:t>Pleading</w:t>
            </w:r>
          </w:p>
          <w:p>
            <w:pPr>
              <w:spacing w:before="0" w:after="0" w:line="255" w:lineRule="atLeast"/>
            </w:pPr>
            <w:hyperlink r:id="r36">
              <w:r>
                <w:rPr>
                  <w:rFonts w:ascii="Times New Roman" w:hAnsi="Times New Roman"/>
                  <w:color w:val="000000"/>
                  <w:sz w:val="18"/>
                </w:rPr>
                <w:t>30k3279</w:t>
              </w:r>
            </w:hyperlink>
            <w:r>
              <w:rPr>
                <w:rFonts w:ascii="Times New Roman" w:hAnsi="Times New Roman"/>
                <w:color w:val="000000"/>
                <w:sz w:val="18"/>
              </w:rPr>
              <w:t>Objections and exceptions;  demurrer</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Because the Court of Appeals' review of a circuit court's decision sustaining a demurrer addresses that same legal question, the Court reviews the circuit court's judgment de novo.</w:t>
            </w:r>
          </w:p>
        </w:tc>
      </w:tr>
    </w:tbl>
    <w:p>
      <w:pPr>
        <w:spacing w:before="0" w:after="0" w:line="240" w:lineRule="auto"/>
        <w:rPr>
          <w:sz w:val="20"/>
        </w:rPr>
      </w:pPr>
    </w:p>
    <w:tbl>
      <w:tblPr>
        <w:tblInd w:w="30" w:type="dxa"/>
        <w:tblLayout w:type="fixed"/>
      </w:tblPr>
      <w:tblGrid>
        <w:gridCol w:w="600"/>
        <w:gridCol w:w="4035"/>
      </w:tblGrid>
      <w:bookmarkStart w:id="20" w:name="co_headnoteId_2026624302003202106220522"/>
      <w:bookmarkStart w:id="21" w:name="co_anchor_2026624302004_1"/>
      <w:bookmarkStart w:id="22" w:name="co_headnotesTable_2_1"/>
      <w:tr>
        <w:tblPrEx/>
        <w:trPr/>
        <w:tc>
          <w:tcPr>
            <w:tcMar>
              <w:left w:w="30" w:type="dxa"/>
              <w:right w:w="30" w:type="dxa"/>
            </w:tcMar>
            <w:vAlign w:val="top"/>
          </w:tcPr>
          <w:p>
            <w:pPr>
              <w:spacing w:before="0" w:after="0" w:line="275" w:lineRule="atLeast"/>
            </w:pPr>
            <w:bookmarkStart w:id="23" w:name="co_anchor_F42026624302_1"/>
            <w:bookmarkStart w:id="24" w:name="co_anchor_headNote_[4]_1"/>
            <w:hyperlink w:anchor="co_anchor_B42026624302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7">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38">
              <w:r>
                <w:rPr>
                  <w:rFonts w:ascii="Times New Roman" w:hAnsi="Times New Roman"/>
                  <w:color w:val="000000"/>
                  <w:sz w:val="20"/>
                </w:rPr>
                <w:t>Powers, proceedings and review</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0">
              <w:r>
                <w:rPr>
                  <w:rFonts w:ascii="Times New Roman" w:hAnsi="Times New Roman"/>
                  <w:color w:val="000000"/>
                  <w:sz w:val="18"/>
                </w:rPr>
                <w:t>405II</w:t>
              </w:r>
            </w:hyperlink>
            <w:r>
              <w:rPr>
                <w:rFonts w:ascii="Times New Roman" w:hAnsi="Times New Roman"/>
                <w:color w:val="000000"/>
                <w:sz w:val="18"/>
              </w:rPr>
              <w:t>Comprehensive Water Resource Planning and Management in General</w:t>
            </w:r>
          </w:p>
          <w:p>
            <w:pPr>
              <w:spacing w:before="0" w:after="0" w:line="255" w:lineRule="atLeast"/>
            </w:pPr>
            <w:hyperlink r:id="r41">
              <w:r>
                <w:rPr>
                  <w:rFonts w:ascii="Times New Roman" w:hAnsi="Times New Roman"/>
                  <w:color w:val="000000"/>
                  <w:sz w:val="18"/>
                </w:rPr>
                <w:t>405II(B)</w:t>
              </w:r>
            </w:hyperlink>
            <w:r>
              <w:rPr>
                <w:rFonts w:ascii="Times New Roman" w:hAnsi="Times New Roman"/>
                <w:color w:val="000000"/>
                <w:sz w:val="18"/>
              </w:rPr>
              <w:t>Districts, Agencies, and Other Administrative Authorities</w:t>
            </w:r>
          </w:p>
          <w:p>
            <w:pPr>
              <w:spacing w:before="0" w:after="0" w:line="255" w:lineRule="atLeast"/>
            </w:pPr>
            <w:hyperlink r:id="r42">
              <w:r>
                <w:rPr>
                  <w:rFonts w:ascii="Times New Roman" w:hAnsi="Times New Roman"/>
                  <w:color w:val="000000"/>
                  <w:sz w:val="18"/>
                </w:rPr>
                <w:t>405k1035</w:t>
              </w:r>
            </w:hyperlink>
            <w:r>
              <w:rPr>
                <w:rFonts w:ascii="Times New Roman" w:hAnsi="Times New Roman"/>
                <w:color w:val="000000"/>
                <w:sz w:val="18"/>
              </w:rPr>
              <w:t>Powers, proceedings and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 establish that a petitioner is aggrieved by a permit decision of the Virginia Marine Resources Commission (VMRC) so as to entitle petitioner to judicial review pursuant to the Virginia Administrative Process Act (VAPA), the petitioner must show that he has an immediate, pecuniary and substantial interest in the litigation, and not a remote or indirect interest. West's </w:t>
            </w:r>
            <w:hyperlink r:id="r43">
              <w:r>
                <w:rPr>
                  <w:rFonts w:ascii="Times New Roman" w:hAnsi="Times New Roman"/>
                  <w:color w:val="000000"/>
                  <w:sz w:val="20"/>
                </w:rPr>
                <w:t>V.C.A. § 2.2–4026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 w:name="co_headnoteId_2026624302004202106220522"/>
      <w:bookmarkStart w:id="26" w:name="co_anchor_2026624302005_1"/>
      <w:bookmarkStart w:id="27" w:name="co_headnotesTable_3_1"/>
      <w:tr>
        <w:tblPrEx/>
        <w:trPr/>
        <w:tc>
          <w:tcPr>
            <w:tcMar>
              <w:left w:w="30" w:type="dxa"/>
              <w:right w:w="30" w:type="dxa"/>
            </w:tcMar>
            <w:vAlign w:val="top"/>
          </w:tcPr>
          <w:p>
            <w:pPr>
              <w:spacing w:before="0" w:after="0" w:line="275" w:lineRule="atLeast"/>
            </w:pPr>
            <w:bookmarkStart w:id="28" w:name="co_anchor_F52026624302_1"/>
            <w:bookmarkStart w:id="29" w:name="co_anchor_headNote_[5]_1"/>
            <w:hyperlink w:anchor="co_anchor_B52026624302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4">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45">
              <w:r>
                <w:rPr>
                  <w:rFonts w:ascii="Times New Roman" w:hAnsi="Times New Roman"/>
                  <w:color w:val="000000"/>
                  <w:sz w:val="20"/>
                </w:rPr>
                <w:t>Powers, proceedings and review</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7">
              <w:r>
                <w:rPr>
                  <w:rFonts w:ascii="Times New Roman" w:hAnsi="Times New Roman"/>
                  <w:color w:val="000000"/>
                  <w:sz w:val="18"/>
                </w:rPr>
                <w:t>405II</w:t>
              </w:r>
            </w:hyperlink>
            <w:r>
              <w:rPr>
                <w:rFonts w:ascii="Times New Roman" w:hAnsi="Times New Roman"/>
                <w:color w:val="000000"/>
                <w:sz w:val="18"/>
              </w:rPr>
              <w:t>Comprehensive Water Resource Planning and Management in General</w:t>
            </w:r>
          </w:p>
          <w:p>
            <w:pPr>
              <w:spacing w:before="0" w:after="0" w:line="255" w:lineRule="atLeast"/>
            </w:pPr>
            <w:hyperlink r:id="r48">
              <w:r>
                <w:rPr>
                  <w:rFonts w:ascii="Times New Roman" w:hAnsi="Times New Roman"/>
                  <w:color w:val="000000"/>
                  <w:sz w:val="18"/>
                </w:rPr>
                <w:t>405II(B)</w:t>
              </w:r>
            </w:hyperlink>
            <w:r>
              <w:rPr>
                <w:rFonts w:ascii="Times New Roman" w:hAnsi="Times New Roman"/>
                <w:color w:val="000000"/>
                <w:sz w:val="18"/>
              </w:rPr>
              <w:t>Districts, Agencies, and Other Administrative Authorities</w:t>
            </w:r>
          </w:p>
          <w:p>
            <w:pPr>
              <w:spacing w:before="0" w:after="0" w:line="255" w:lineRule="atLeast"/>
            </w:pPr>
            <w:hyperlink r:id="r49">
              <w:r>
                <w:rPr>
                  <w:rFonts w:ascii="Times New Roman" w:hAnsi="Times New Roman"/>
                  <w:color w:val="000000"/>
                  <w:sz w:val="18"/>
                </w:rPr>
                <w:t>405k1035</w:t>
              </w:r>
            </w:hyperlink>
            <w:r>
              <w:rPr>
                <w:rFonts w:ascii="Times New Roman" w:hAnsi="Times New Roman"/>
                <w:color w:val="000000"/>
                <w:sz w:val="18"/>
              </w:rPr>
              <w:t>Powers, proceedings and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 establish standing for judicial review of a decision of the Virginia Marine Resources Commission (VMRC) under the Virginia Administrative Process Act (VAPA), the petitioner is required to demonstrate that they possess either an immediate, pecuniary, and substantial interest in the litigation or that they have been denied some personal or property right, legal or equitable by the agency's decision. West's </w:t>
            </w:r>
            <w:hyperlink r:id="r50">
              <w:r>
                <w:rPr>
                  <w:rFonts w:ascii="Times New Roman" w:hAnsi="Times New Roman"/>
                  <w:color w:val="000000"/>
                  <w:sz w:val="20"/>
                </w:rPr>
                <w:t>V.C.A. § 2.2–4026</w:t>
              </w:r>
            </w:hyperlink>
            <w:r>
              <w:rPr>
                <w:rFonts w:ascii="Times New Roman" w:hAnsi="Times New Roman"/>
                <w:color w:val="000000"/>
                <w:sz w:val="20"/>
              </w:rPr>
              <w:t>.</w:t>
            </w:r>
          </w:p>
          <w:bookmarkStart w:id="30" w:name="co_headnoteId_2026624302005202106220522"/>
          <w:p>
            <w:pPr>
              <w:spacing w:before="200" w:after="0" w:line="275" w:lineRule="atLeast"/>
              <w:jc w:val="both"/>
            </w:pPr>
            <w:hyperlink r:id="r51">
              <w:r>
                <w:rPr>
                  <w:rFonts w:ascii="Times New Roman" w:hAnsi="Times New Roman"/>
                  <w:color w:val="000000"/>
                  <w:sz w:val="20"/>
                </w:rPr>
                <w:t>1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26624302006_1"/>
      <w:bookmarkStart w:id="32" w:name="co_headnotesTable_4_1"/>
      <w:tr>
        <w:tblPrEx/>
        <w:trPr/>
        <w:tc>
          <w:tcPr>
            <w:tcMar>
              <w:left w:w="30" w:type="dxa"/>
              <w:right w:w="30" w:type="dxa"/>
            </w:tcMar>
            <w:vAlign w:val="top"/>
          </w:tcPr>
          <w:p>
            <w:pPr>
              <w:spacing w:before="0" w:after="0" w:line="275" w:lineRule="atLeast"/>
            </w:pPr>
            <w:bookmarkStart w:id="33" w:name="co_anchor_F62026624302_1"/>
            <w:bookmarkStart w:id="34" w:name="co_anchor_headNote_[6]_1"/>
            <w:hyperlink w:anchor="co_anchor_B62026624302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Powers, proceedings and review</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5">
              <w:r>
                <w:rPr>
                  <w:rFonts w:ascii="Times New Roman" w:hAnsi="Times New Roman"/>
                  <w:color w:val="000000"/>
                  <w:sz w:val="18"/>
                </w:rPr>
                <w:t>405II</w:t>
              </w:r>
            </w:hyperlink>
            <w:r>
              <w:rPr>
                <w:rFonts w:ascii="Times New Roman" w:hAnsi="Times New Roman"/>
                <w:color w:val="000000"/>
                <w:sz w:val="18"/>
              </w:rPr>
              <w:t>Comprehensive Water Resource Planning and Management in General</w:t>
            </w:r>
          </w:p>
          <w:p>
            <w:pPr>
              <w:spacing w:before="0" w:after="0" w:line="255" w:lineRule="atLeast"/>
            </w:pPr>
            <w:hyperlink r:id="r56">
              <w:r>
                <w:rPr>
                  <w:rFonts w:ascii="Times New Roman" w:hAnsi="Times New Roman"/>
                  <w:color w:val="000000"/>
                  <w:sz w:val="18"/>
                </w:rPr>
                <w:t>405II(B)</w:t>
              </w:r>
            </w:hyperlink>
            <w:r>
              <w:rPr>
                <w:rFonts w:ascii="Times New Roman" w:hAnsi="Times New Roman"/>
                <w:color w:val="000000"/>
                <w:sz w:val="18"/>
              </w:rPr>
              <w:t>Districts, Agencies, and Other Administrative Authorities</w:t>
            </w:r>
          </w:p>
          <w:p>
            <w:pPr>
              <w:spacing w:before="0" w:after="0" w:line="255" w:lineRule="atLeast"/>
            </w:pPr>
            <w:hyperlink r:id="r57">
              <w:r>
                <w:rPr>
                  <w:rFonts w:ascii="Times New Roman" w:hAnsi="Times New Roman"/>
                  <w:color w:val="000000"/>
                  <w:sz w:val="18"/>
                </w:rPr>
                <w:t>405k1035</w:t>
              </w:r>
            </w:hyperlink>
            <w:r>
              <w:rPr>
                <w:rFonts w:ascii="Times New Roman" w:hAnsi="Times New Roman"/>
                <w:color w:val="000000"/>
                <w:sz w:val="18"/>
              </w:rPr>
              <w:t>Powers, proceedings and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Standing to seek judicial review of a decision of the Virginia Marine Resources Commission (VMRC) under the Virginia Administrative Process Act (VAPA) will not be conferred on a petitioner whose sole interest is to advance some perceived public right or to redress some anticipated public injury when the only wrong he has suffered is in common with other persons similarly situated. West's </w:t>
            </w:r>
            <w:hyperlink r:id="r58">
              <w:r>
                <w:rPr>
                  <w:rFonts w:ascii="Times New Roman" w:hAnsi="Times New Roman"/>
                  <w:color w:val="000000"/>
                  <w:sz w:val="20"/>
                </w:rPr>
                <w:t>V.C.A. § 2.2–4026</w:t>
              </w:r>
            </w:hyperlink>
            <w:r>
              <w:rPr>
                <w:rFonts w:ascii="Times New Roman" w:hAnsi="Times New Roman"/>
                <w:color w:val="000000"/>
                <w:sz w:val="20"/>
              </w:rPr>
              <w:t>.</w:t>
            </w:r>
          </w:p>
          <w:bookmarkStart w:id="35" w:name="co_headnoteId_2026624302006202106220522"/>
          <w:p>
            <w:pPr>
              <w:spacing w:before="200" w:after="0" w:line="275" w:lineRule="atLeast"/>
              <w:jc w:val="both"/>
            </w:pPr>
            <w:hyperlink r:id="r59">
              <w:r>
                <w:rPr>
                  <w:rFonts w:ascii="Times New Roman" w:hAnsi="Times New Roman"/>
                  <w:color w:val="000000"/>
                  <w:sz w:val="20"/>
                </w:rPr>
                <w:t>1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2026624302007_1"/>
      <w:bookmarkStart w:id="37" w:name="co_headnotesTable_5_1"/>
      <w:tr>
        <w:tblPrEx/>
        <w:trPr/>
        <w:tc>
          <w:tcPr>
            <w:tcMar>
              <w:left w:w="30" w:type="dxa"/>
              <w:right w:w="30" w:type="dxa"/>
            </w:tcMar>
            <w:vAlign w:val="top"/>
          </w:tcPr>
          <w:p>
            <w:pPr>
              <w:spacing w:before="0" w:after="0" w:line="275" w:lineRule="atLeast"/>
            </w:pPr>
            <w:bookmarkStart w:id="38" w:name="co_anchor_F72026624302_1"/>
            <w:bookmarkStart w:id="39" w:name="co_anchor_headNote_[7]_1"/>
            <w:hyperlink w:anchor="co_anchor_B72026624302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Leases;  water bottom leases</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65">
              <w:r>
                <w:rPr>
                  <w:rFonts w:ascii="Times New Roman" w:hAnsi="Times New Roman"/>
                  <w:color w:val="000000"/>
                  <w:sz w:val="18"/>
                </w:rPr>
                <w:t>405XV(C)2</w:t>
              </w:r>
            </w:hyperlink>
            <w:r>
              <w:rPr>
                <w:rFonts w:ascii="Times New Roman" w:hAnsi="Times New Roman"/>
                <w:color w:val="000000"/>
                <w:sz w:val="18"/>
              </w:rPr>
              <w:t>Grants to and Acquisition by Private Owners or Municipalities</w:t>
            </w:r>
          </w:p>
          <w:p>
            <w:pPr>
              <w:spacing w:before="0" w:after="0" w:line="255" w:lineRule="atLeast"/>
            </w:pPr>
            <w:hyperlink r:id="r66">
              <w:r>
                <w:rPr>
                  <w:rFonts w:ascii="Times New Roman" w:hAnsi="Times New Roman"/>
                  <w:color w:val="000000"/>
                  <w:sz w:val="18"/>
                </w:rPr>
                <w:t>405k2683</w:t>
              </w:r>
            </w:hyperlink>
            <w:r>
              <w:rPr>
                <w:rFonts w:ascii="Times New Roman" w:hAnsi="Times New Roman"/>
                <w:color w:val="000000"/>
                <w:sz w:val="18"/>
              </w:rPr>
              <w:t>Leases;  water bottom leases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Recreational users of bay lacked standing pursuant to the Virginia Administrative Process Act (VAPA) to challenge decision of Virginia Marine Resources Commission (VMRC) granting pound net permit applications, where users' interests were indistinguishable from those of any boater, kayaker, swimmer, or recreational fisher in the area. West's </w:t>
            </w:r>
            <w:hyperlink r:id="r67">
              <w:r>
                <w:rPr>
                  <w:rFonts w:ascii="Times New Roman" w:hAnsi="Times New Roman"/>
                  <w:color w:val="000000"/>
                  <w:sz w:val="20"/>
                </w:rPr>
                <w:t>V.C.A. § 2.2–4026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0" w:name="co_headnoteId_2026624302007202106220522"/>
      <w:bookmarkStart w:id="41" w:name="co_anchor_2026624302008_1"/>
      <w:bookmarkStart w:id="42" w:name="co_headnotesTable_6_1"/>
      <w:tr>
        <w:tblPrEx/>
        <w:trPr/>
        <w:tc>
          <w:tcPr>
            <w:tcMar>
              <w:left w:w="30" w:type="dxa"/>
              <w:right w:w="30" w:type="dxa"/>
            </w:tcMar>
            <w:vAlign w:val="top"/>
          </w:tcPr>
          <w:p>
            <w:pPr>
              <w:spacing w:before="0" w:after="0" w:line="275" w:lineRule="atLeast"/>
            </w:pPr>
            <w:bookmarkStart w:id="43" w:name="co_anchor_F82026624302_1"/>
            <w:bookmarkStart w:id="44" w:name="co_anchor_headNote_[8]_1"/>
            <w:hyperlink w:anchor="co_anchor_B82026624302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Powers, proceedings and review</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1">
              <w:r>
                <w:rPr>
                  <w:rFonts w:ascii="Times New Roman" w:hAnsi="Times New Roman"/>
                  <w:color w:val="000000"/>
                  <w:sz w:val="18"/>
                </w:rPr>
                <w:t>405II</w:t>
              </w:r>
            </w:hyperlink>
            <w:r>
              <w:rPr>
                <w:rFonts w:ascii="Times New Roman" w:hAnsi="Times New Roman"/>
                <w:color w:val="000000"/>
                <w:sz w:val="18"/>
              </w:rPr>
              <w:t>Comprehensive Water Resource Planning and Management in General</w:t>
            </w:r>
          </w:p>
          <w:p>
            <w:pPr>
              <w:spacing w:before="0" w:after="0" w:line="255" w:lineRule="atLeast"/>
            </w:pPr>
            <w:hyperlink r:id="r72">
              <w:r>
                <w:rPr>
                  <w:rFonts w:ascii="Times New Roman" w:hAnsi="Times New Roman"/>
                  <w:color w:val="000000"/>
                  <w:sz w:val="18"/>
                </w:rPr>
                <w:t>405II(B)</w:t>
              </w:r>
            </w:hyperlink>
            <w:r>
              <w:rPr>
                <w:rFonts w:ascii="Times New Roman" w:hAnsi="Times New Roman"/>
                <w:color w:val="000000"/>
                <w:sz w:val="18"/>
              </w:rPr>
              <w:t>Districts, Agencies, and Other Administrative Authorities</w:t>
            </w:r>
          </w:p>
          <w:p>
            <w:pPr>
              <w:spacing w:before="0" w:after="0" w:line="255" w:lineRule="atLeast"/>
            </w:pPr>
            <w:hyperlink r:id="r73">
              <w:r>
                <w:rPr>
                  <w:rFonts w:ascii="Times New Roman" w:hAnsi="Times New Roman"/>
                  <w:color w:val="000000"/>
                  <w:sz w:val="18"/>
                </w:rPr>
                <w:t>405k1035</w:t>
              </w:r>
            </w:hyperlink>
            <w:r>
              <w:rPr>
                <w:rFonts w:ascii="Times New Roman" w:hAnsi="Times New Roman"/>
                <w:color w:val="000000"/>
                <w:sz w:val="18"/>
              </w:rPr>
              <w:t>Powers, proceedings and review</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While recreational interests may suffice to confer standing to seeking judicial review of a decision of the Virginia Marine Resources Commission (VMRC) under the Virginia Administrative Process Act (VAPA) if those interests are also immediate, pecuniary, and substantial, such interests nonetheless must be distinguishable from interests shared generally with the public. West's </w:t>
            </w:r>
            <w:hyperlink r:id="r74">
              <w:r>
                <w:rPr>
                  <w:rFonts w:ascii="Times New Roman" w:hAnsi="Times New Roman"/>
                  <w:color w:val="000000"/>
                  <w:sz w:val="20"/>
                </w:rPr>
                <w:t>V.C.A. § 2.2–4026</w:t>
              </w:r>
            </w:hyperlink>
            <w:r>
              <w:rPr>
                <w:rFonts w:ascii="Times New Roman" w:hAnsi="Times New Roman"/>
                <w:color w:val="000000"/>
                <w:sz w:val="20"/>
              </w:rPr>
              <w:t>.</w:t>
            </w:r>
          </w:p>
        </w:tc>
      </w:tr>
    </w:tbl>
    <w:bookmarkStart w:id="45" w:name="co_headnoteId_2026624302008202106220522"/>
    <w:p>
      <w:pPr>
        <w:spacing w:before="0" w:after="0" w:line="275" w:lineRule="atLeast"/>
        <w:jc w:val="both"/>
      </w:pPr>
    </w:p>
    <w:bookmarkEnd w:id="45"/>
    <w:p>
      <w:pPr>
        <w:pBdr>
          <w:top w:val="none" w:space="4"/>
        </w:pBdr>
        <w:spacing w:before="200" w:after="0" w:line="275" w:lineRule="atLeast"/>
        <w:jc w:val="both"/>
      </w:pPr>
      <w:bookmarkStart w:id="46" w:name="co_headnotesEnd_1"/>
      <w:bookmarkEnd w:id="46"/>
    </w:p>
    <w:bookmarkStart w:id="4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47"/>
    <w:p>
      <w:pPr>
        <w:spacing w:before="200" w:after="0" w:line="275" w:lineRule="atLeast"/>
        <w:jc w:val="both"/>
      </w:pPr>
      <w:bookmarkStart w:id="48" w:name="co_pp_sp_711_804_1"/>
      <w:r>
        <w:rPr>
          <w:rFonts w:ascii="Times New Roman" w:hAnsi="Times New Roman"/>
          <w:b/>
          <w:color w:val="000000"/>
          <w:sz w:val="20"/>
        </w:rPr>
        <w:t>**804</w:t>
      </w:r>
      <w:bookmarkEnd w:id="48"/>
      <w:r>
        <w:rPr>
          <w:rFonts w:ascii="Times New Roman" w:hAnsi="Times New Roman"/>
          <w:color w:val="000000"/>
          <w:sz w:val="20"/>
        </w:rPr>
        <w:t xml:space="preserve"> </w:t>
      </w:r>
      <w:hyperlink r:id="r75">
        <w:r>
          <w:rPr>
            <w:rFonts w:ascii="Times New Roman" w:hAnsi="Times New Roman"/>
            <w:color w:val="000000"/>
            <w:sz w:val="20"/>
          </w:rPr>
          <w:t>Thomas S. Carnes</w:t>
        </w:r>
      </w:hyperlink>
      <w:r>
        <w:rPr>
          <w:rFonts w:ascii="Times New Roman" w:hAnsi="Times New Roman"/>
          <w:color w:val="000000"/>
          <w:sz w:val="20"/>
        </w:rPr>
        <w:t xml:space="preserve"> (Roy, Larsen, Carnes, &amp; Romm, P.C., Chesapeake, on brief), for appellants.</w:t>
      </w:r>
    </w:p>
    <w:p>
      <w:pPr>
        <w:spacing w:before="200" w:after="0" w:line="275" w:lineRule="atLeast"/>
        <w:jc w:val="both"/>
      </w:pPr>
      <w:hyperlink r:id="r76">
        <w:r>
          <w:rPr>
            <w:rFonts w:ascii="Times New Roman" w:hAnsi="Times New Roman"/>
            <w:color w:val="000000"/>
            <w:sz w:val="20"/>
          </w:rPr>
          <w:t>David C. Grandis</w:t>
        </w:r>
      </w:hyperlink>
      <w:r>
        <w:rPr>
          <w:rFonts w:ascii="Times New Roman" w:hAnsi="Times New Roman"/>
          <w:color w:val="000000"/>
          <w:sz w:val="20"/>
        </w:rPr>
        <w:t>, Assistant Attorney General (</w:t>
      </w:r>
      <w:hyperlink r:id="r77">
        <w:r>
          <w:rPr>
            <w:rFonts w:ascii="Times New Roman" w:hAnsi="Times New Roman"/>
            <w:color w:val="000000"/>
            <w:sz w:val="20"/>
          </w:rPr>
          <w:t>Kenneth T. Cuccinelli, II</w:t>
        </w:r>
      </w:hyperlink>
      <w:r>
        <w:rPr>
          <w:rFonts w:ascii="Times New Roman" w:hAnsi="Times New Roman"/>
          <w:color w:val="000000"/>
          <w:sz w:val="20"/>
        </w:rPr>
        <w:t>, Attorney General; Elizabeth A. Andrews, Senior Assistant Attorney General; Christopher H. Falk; The Law Office of Christopher H. Falk, on brief), for appellees.</w:t>
      </w:r>
    </w:p>
    <w:p>
      <w:pPr>
        <w:spacing w:before="0" w:after="0" w:line="275" w:lineRule="atLeast"/>
        <w:jc w:val="both"/>
      </w:pPr>
      <w:r>
        <w:rPr>
          <w:rFonts w:ascii="Times New Roman" w:hAnsi="Times New Roman"/>
          <w:color w:val="000000"/>
          <w:sz w:val="20"/>
        </w:rPr>
        <w:t xml:space="preserve">Present: </w:t>
      </w:r>
      <w:hyperlink r:id="r78">
        <w:r>
          <w:rPr>
            <w:rFonts w:ascii="Times New Roman" w:hAnsi="Times New Roman"/>
            <w:color w:val="000000"/>
            <w:sz w:val="20"/>
          </w:rPr>
          <w:t>FELTON</w:t>
        </w:r>
      </w:hyperlink>
      <w:r>
        <w:rPr>
          <w:rFonts w:ascii="Times New Roman" w:hAnsi="Times New Roman"/>
          <w:color w:val="000000"/>
          <w:sz w:val="20"/>
        </w:rPr>
        <w:t xml:space="preserve">, C.J., </w:t>
      </w:r>
      <w:hyperlink r:id="r79">
        <w:r>
          <w:rPr>
            <w:rFonts w:ascii="Times New Roman" w:hAnsi="Times New Roman"/>
            <w:color w:val="000000"/>
            <w:sz w:val="20"/>
          </w:rPr>
          <w:t>KELSEY</w:t>
        </w:r>
      </w:hyperlink>
      <w:r>
        <w:rPr>
          <w:rFonts w:ascii="Times New Roman" w:hAnsi="Times New Roman"/>
          <w:color w:val="000000"/>
          <w:sz w:val="20"/>
        </w:rPr>
        <w:t xml:space="preserve"> and </w:t>
      </w:r>
      <w:hyperlink r:id="r80">
        <w:r>
          <w:rPr>
            <w:rFonts w:ascii="Times New Roman" w:hAnsi="Times New Roman"/>
            <w:color w:val="000000"/>
            <w:sz w:val="20"/>
          </w:rPr>
          <w:t>HUFF</w:t>
        </w:r>
      </w:hyperlink>
      <w:r>
        <w:rPr>
          <w:rFonts w:ascii="Times New Roman" w:hAnsi="Times New Roman"/>
          <w:color w:val="000000"/>
          <w:sz w:val="20"/>
        </w:rPr>
        <w:t>, JJ.</w:t>
      </w:r>
    </w:p>
    <w:bookmarkStart w:id="49" w:name="co_opinion_1"/>
    <w:p>
      <w:pPr>
        <w:keepNext/>
        <w:keepLines/>
        <w:spacing w:before="200" w:after="0" w:line="275" w:lineRule="atLeast"/>
        <w:jc w:val="both"/>
      </w:pPr>
      <w:r>
        <w:rPr>
          <w:rFonts w:ascii="Times New Roman" w:hAnsi="Times New Roman"/>
          <w:b/>
          <w:color w:val="212121"/>
          <w:sz w:val="20"/>
        </w:rPr>
        <w:t>Opinion</w:t>
      </w:r>
    </w:p>
    <w:bookmarkEnd w:id="49"/>
    <w:bookmarkStart w:id="50" w:name="co_anchor_Ia44d6a7ad34611ebbea4f0dc9fb6"/>
    <w:p>
      <w:pPr>
        <w:spacing w:before="200" w:after="0" w:line="275" w:lineRule="atLeast"/>
        <w:jc w:val="both"/>
      </w:pPr>
      <w:hyperlink r:id="r81">
        <w:r>
          <w:rPr>
            <w:rFonts w:ascii="Times New Roman" w:hAnsi="Times New Roman"/>
            <w:color w:val="000000"/>
            <w:sz w:val="20"/>
          </w:rPr>
          <w:t>FELTON</w:t>
        </w:r>
      </w:hyperlink>
      <w:r>
        <w:rPr>
          <w:rFonts w:ascii="Times New Roman" w:hAnsi="Times New Roman"/>
          <w:color w:val="000000"/>
          <w:sz w:val="20"/>
        </w:rPr>
        <w:t>, Chief Judge.</w:t>
      </w:r>
    </w:p>
    <w:bookmarkEnd w:id="50"/>
    <w:bookmarkStart w:id="51" w:name="co_anchor_Ia44d6a7cd34611ebbea4f0dc9fb6"/>
    <w:p>
      <w:pPr>
        <w:spacing w:before="200" w:after="0" w:line="275" w:lineRule="atLeast"/>
        <w:jc w:val="both"/>
      </w:pPr>
      <w:bookmarkStart w:id="52" w:name="co_pp_sp_914_171_1"/>
      <w:r>
        <w:rPr>
          <w:rFonts w:ascii="Times New Roman" w:hAnsi="Times New Roman"/>
          <w:b/>
          <w:color w:val="000000"/>
          <w:sz w:val="20"/>
        </w:rPr>
        <w:t>*171</w:t>
      </w:r>
      <w:bookmarkEnd w:id="52"/>
      <w:r>
        <w:rPr>
          <w:rFonts w:ascii="Times New Roman" w:hAnsi="Times New Roman"/>
          <w:color w:val="000000"/>
          <w:sz w:val="20"/>
        </w:rPr>
        <w:t xml:space="preserve"> Michael D. Wills and Todd Solomon (“appellants”) appeal from a judgment of the Circuit Court of the City of Virginia Beach (“circuit court”) dismissing their petition for </w:t>
      </w:r>
      <w:bookmarkStart w:id="53" w:name="co_pp_sp_711_805_1"/>
      <w:r>
        <w:rPr>
          <w:rFonts w:ascii="Times New Roman" w:hAnsi="Times New Roman"/>
          <w:b/>
          <w:color w:val="000000"/>
          <w:sz w:val="20"/>
        </w:rPr>
        <w:t>**805</w:t>
      </w:r>
      <w:bookmarkEnd w:id="53"/>
      <w:r>
        <w:rPr>
          <w:rFonts w:ascii="Times New Roman" w:hAnsi="Times New Roman"/>
          <w:color w:val="000000"/>
          <w:sz w:val="20"/>
        </w:rPr>
        <w:t xml:space="preserve"> appeal challenging the decision of the Virginia Marine Resources Commission (“VMRC”) to permit Dirk Sanford and Charles Gregory (“appellees”) to locate pound nets in Chesapeake Bay, because their petition failed to allege sufficient facts to establish standing. For the following reasons, we affirm the judgment of the circuit court.</w:t>
      </w:r>
    </w:p>
    <w:bookmarkEnd w:id="51"/>
    <w:p>
      <w:pPr>
        <w:spacing w:before="0" w:after="0" w:line="275" w:lineRule="atLeast"/>
        <w:jc w:val="both"/>
      </w:pPr>
      <w:r>
        <w:rPr>
          <w:rFonts w:ascii="Times New Roman" w:hAnsi="Times New Roman"/>
          <w:color w:val="000000"/>
          <w:sz w:val="20"/>
        </w:rPr>
        <w:t> </w:t>
      </w:r>
    </w:p>
    <w:bookmarkStart w:id="54" w:name="co_anchor_Ia44d6a7dd34611ebbea4f0dc9fb6"/>
    <w:bookmarkStart w:id="55" w:name="co_anchor_Ia44d6a7dd34611ebbea4f0dc92"/>
    <w:p>
      <w:pPr>
        <w:spacing w:before="600" w:after="0" w:line="275" w:lineRule="atLeast"/>
        <w:jc w:val="center"/>
      </w:pPr>
      <w:r>
        <w:rPr>
          <w:rFonts w:ascii="Times New Roman" w:hAnsi="Times New Roman"/>
          <w:color w:val="000000"/>
          <w:sz w:val="20"/>
        </w:rPr>
        <w:t>I. BACKGROUND</w:t>
      </w:r>
    </w:p>
    <w:bookmarkEnd w:id="55"/>
    <w:bookmarkEnd w:id="54"/>
    <w:p>
      <w:pPr>
        <w:spacing w:before="200" w:after="0" w:line="275" w:lineRule="atLeast"/>
        <w:jc w:val="both"/>
      </w:pPr>
      <w:r>
        <w:rPr>
          <w:rFonts w:ascii="Times New Roman" w:hAnsi="Times New Roman"/>
          <w:color w:val="000000"/>
          <w:sz w:val="20"/>
        </w:rPr>
        <w:t>Appellees filed permit applications with VMRC to locate pound nets on bottomland in the Chesapeake Bay, near the Chesapeake Bay Bridge–Tunnel and Lynnhaven Inlet.</w:t>
      </w:r>
      <w:bookmarkStart w:id="56" w:name="co_fnRef_B00112026624302_ID0EKQAE_1"/>
      <w:hyperlink w:anchor="co_footnote_B00112026624302_1">
        <w:r>
          <w:rPr>
            <w:rFonts w:ascii="Times New Roman" w:hAnsi="Times New Roman"/>
            <w:color w:val="000000"/>
            <w:sz w:val="16"/>
            <w:vertAlign w:val="superscript"/>
          </w:rPr>
          <w:t>1</w:t>
        </w:r>
      </w:hyperlink>
      <w:bookmarkEnd w:id="56"/>
      <w:r>
        <w:rPr>
          <w:rFonts w:ascii="Times New Roman" w:hAnsi="Times New Roman"/>
          <w:color w:val="000000"/>
          <w:sz w:val="20"/>
        </w:rPr>
        <w:t xml:space="preserve"> On March 24, 2009, VMRC conducted a public hearing to consider appellees' applications. At that hearing, appellants spoke in opposition to the permit applications. They asserted the pound nets were inappropriate for such a densely populated area of Chesapeake Bay, would pose a navigation hazard for boats, and would be placed near the beach and in waters frequently and customarily used by appellants and others for recreational purposes. After consideration of VMRC staff recommendations and testimony in support of and in opposition to appellees' permit applications, VMRC approved appellees' pound net permit applications.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appealed VMRC's decision to grant the permits to the circuit court, pursuant to </w:t>
      </w:r>
      <w:hyperlink r:id="r82">
        <w:r>
          <w:rPr>
            <w:rFonts w:ascii="Times New Roman" w:hAnsi="Times New Roman"/>
            <w:color w:val="000000"/>
            <w:sz w:val="20"/>
          </w:rPr>
          <w:t>Code § 28.2–1205(F)</w:t>
        </w:r>
      </w:hyperlink>
      <w:r>
        <w:rPr>
          <w:rFonts w:ascii="Times New Roman" w:hAnsi="Times New Roman"/>
          <w:color w:val="000000"/>
          <w:sz w:val="20"/>
        </w:rPr>
        <w:t xml:space="preserve">. That statute provides, in pertinent part, that “[a]ny person aggrieved by a decision of the [VMRC] under this section is entitled to judicial review in accordance with the provisions of the Administrative Process Act ( </w:t>
      </w:r>
      <w:hyperlink r:id="r83">
        <w:r>
          <w:rPr>
            <w:rFonts w:ascii="Times New Roman" w:hAnsi="Times New Roman"/>
            <w:color w:val="000000"/>
            <w:sz w:val="20"/>
          </w:rPr>
          <w:t xml:space="preserve">[Code] § 2.2–4000 </w:t>
        </w:r>
        <w:r>
          <w:rPr>
            <w:rFonts w:ascii="Times New Roman" w:hAnsi="Times New Roman"/>
            <w:i/>
            <w:color w:val="000000"/>
            <w:sz w:val="20"/>
          </w:rPr>
          <w:t>et seq.</w:t>
        </w:r>
      </w:hyperlink>
      <w:r>
        <w:rPr>
          <w:rFonts w:ascii="Times New Roman" w:hAnsi="Times New Roman"/>
          <w:color w:val="000000"/>
          <w:sz w:val="20"/>
        </w:rPr>
        <w:t>).”</w:t>
      </w:r>
      <w:bookmarkStart w:id="57" w:name="co_fnRef_B00222026624302_ID0EUSAE_1"/>
      <w:hyperlink w:anchor="co_footnote_B00222026624302_1">
        <w:r>
          <w:rPr>
            <w:rFonts w:ascii="Times New Roman" w:hAnsi="Times New Roman"/>
            <w:color w:val="000000"/>
            <w:sz w:val="16"/>
            <w:vertAlign w:val="superscript"/>
          </w:rPr>
          <w:t>2</w:t>
        </w:r>
      </w:hyperlink>
      <w:bookmarkEnd w:id="57"/>
      <w:r>
        <w:rPr>
          <w:rFonts w:ascii="Times New Roman" w:hAnsi="Times New Roman"/>
          <w:color w:val="000000"/>
          <w:sz w:val="20"/>
        </w:rPr>
        <w:t xml:space="preserve"> </w:t>
      </w:r>
      <w:bookmarkStart w:id="58" w:name="co_pp_sp_914_172_1"/>
      <w:r>
        <w:rPr>
          <w:rFonts w:ascii="Times New Roman" w:hAnsi="Times New Roman"/>
          <w:b/>
          <w:color w:val="000000"/>
          <w:sz w:val="20"/>
        </w:rPr>
        <w:t>*172</w:t>
      </w:r>
      <w:bookmarkEnd w:id="58"/>
      <w:r>
        <w:rPr>
          <w:rFonts w:ascii="Times New Roman" w:hAnsi="Times New Roman"/>
          <w:color w:val="000000"/>
          <w:sz w:val="20"/>
        </w:rPr>
        <w:t xml:space="preserve"> Appellees demurred to appellants' petition for appeal and moved to dismiss the appeal, arguing that appellants lacked standing to appeal VMRC's decision to the circuit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July 10, 2009, following arguments on the standing issue, the circuit court found, in pertinent part, that “[appellants] have failed to allege facts sufficient to show that they are aggrieved by the [VMRC's] March 24, 2009 decision to grant the respective license applications of [appellees] Sanford and Gregory to locate pound nets in the Chesapeake Bay near the Chesapeake Bay Bridge–Tunnel and Lynnhaven Inlet.”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6624302_1">
        <w:r>
          <w:rPr>
            <w:rFonts w:ascii="Times New Roman" w:hAnsi="Times New Roman"/>
            <w:b/>
            <w:color w:val="000000"/>
            <w:sz w:val="20"/>
            <w:bdr w:val="none" w:space="2"/>
            <w:vertAlign w:val="superscript"/>
          </w:rPr>
          <w:t>[1]</w:t>
        </w:r>
      </w:hyperlink>
      <w:bookmarkStart w:id="59" w:name="co_anchor_B12026624302_1"/>
      <w:bookmarkEnd w:id="59"/>
      <w:r>
        <w:rPr>
          <w:rFonts w:ascii="Times New Roman" w:hAnsi="Times New Roman"/>
          <w:color w:val="000000"/>
          <w:sz w:val="20"/>
        </w:rPr>
        <w:t xml:space="preserve"> Appellants filed an amended petition for appeal on July 29, 2009.</w:t>
      </w:r>
      <w:bookmarkStart w:id="60" w:name="co_fnRef_B00332026624302_ID0EMVAE_1"/>
      <w:hyperlink w:anchor="co_footnote_B00332026624302_1">
        <w:r>
          <w:rPr>
            <w:rFonts w:ascii="Times New Roman" w:hAnsi="Times New Roman"/>
            <w:color w:val="000000"/>
            <w:sz w:val="16"/>
            <w:vertAlign w:val="superscript"/>
          </w:rPr>
          <w:t>3</w:t>
        </w:r>
      </w:hyperlink>
      <w:bookmarkEnd w:id="60"/>
      <w:r>
        <w:rPr>
          <w:rFonts w:ascii="Times New Roman" w:hAnsi="Times New Roman"/>
          <w:color w:val="000000"/>
          <w:sz w:val="20"/>
        </w:rPr>
        <w:t xml:space="preserve"> They asserted that VMRC's decision to approve the permits was arbitrary and capricious and that the permits unlawfully authorized encroachment in, on, or over state-owned subaqueous bottomlands, were unsupported by adequate evidence, were granted in violation of </w:t>
      </w:r>
      <w:hyperlink r:id="r84">
        <w:r>
          <w:rPr>
            <w:rFonts w:ascii="Times New Roman" w:hAnsi="Times New Roman"/>
            <w:color w:val="000000"/>
            <w:sz w:val="20"/>
          </w:rPr>
          <w:t>Code §§ 28.2–1205</w:t>
        </w:r>
      </w:hyperlink>
      <w:r>
        <w:rPr>
          <w:rFonts w:ascii="Times New Roman" w:hAnsi="Times New Roman"/>
          <w:color w:val="000000"/>
          <w:sz w:val="20"/>
        </w:rPr>
        <w:t xml:space="preserve"> and </w:t>
      </w:r>
      <w:hyperlink r:id="r85">
        <w:r>
          <w:rPr>
            <w:rFonts w:ascii="Times New Roman" w:hAnsi="Times New Roman"/>
            <w:color w:val="000000"/>
            <w:sz w:val="20"/>
          </w:rPr>
          <w:t>2.2–4020(E)</w:t>
        </w:r>
      </w:hyperlink>
      <w:r>
        <w:rPr>
          <w:rFonts w:ascii="Times New Roman" w:hAnsi="Times New Roman"/>
          <w:color w:val="000000"/>
          <w:sz w:val="20"/>
        </w:rPr>
        <w:t>,</w:t>
      </w:r>
      <w:bookmarkStart w:id="61" w:name="co_fnRef_B00442026624302_ID0EDWAE_1"/>
      <w:hyperlink w:anchor="co_footnote_B00442026624302_1">
        <w:r>
          <w:rPr>
            <w:rFonts w:ascii="Times New Roman" w:hAnsi="Times New Roman"/>
            <w:color w:val="000000"/>
            <w:sz w:val="16"/>
            <w:vertAlign w:val="superscript"/>
          </w:rPr>
          <w:t>4</w:t>
        </w:r>
      </w:hyperlink>
      <w:bookmarkEnd w:id="61"/>
      <w:r>
        <w:rPr>
          <w:rFonts w:ascii="Times New Roman" w:hAnsi="Times New Roman"/>
          <w:color w:val="000000"/>
          <w:sz w:val="20"/>
        </w:rPr>
        <w:t xml:space="preserve"> and were unlawfully granted in violation of the public trust doctrine</w:t>
      </w:r>
      <w:bookmarkStart w:id="62" w:name="co_fnRef_B00552026624302_ID0EKWAE_1"/>
      <w:hyperlink w:anchor="co_footnote_B00552026624302_1">
        <w:r>
          <w:rPr>
            <w:rFonts w:ascii="Times New Roman" w:hAnsi="Times New Roman"/>
            <w:color w:val="000000"/>
            <w:sz w:val="16"/>
            <w:vertAlign w:val="superscript"/>
          </w:rPr>
          <w:t>5</w:t>
        </w:r>
      </w:hyperlink>
      <w:bookmarkEnd w:id="62"/>
      <w:r>
        <w:rPr>
          <w:rFonts w:ascii="Times New Roman" w:hAnsi="Times New Roman"/>
          <w:color w:val="000000"/>
          <w:sz w:val="20"/>
        </w:rPr>
        <w:t xml:space="preserve"> and Virginia Constitution.</w:t>
      </w:r>
      <w:bookmarkStart w:id="63" w:name="co_fnRef_B00662026624302_ID0ETWAE_1"/>
      <w:hyperlink w:anchor="co_footnote_B00662026624302_1">
        <w:r>
          <w:rPr>
            <w:rFonts w:ascii="Times New Roman" w:hAnsi="Times New Roman"/>
            <w:color w:val="000000"/>
            <w:sz w:val="16"/>
            <w:vertAlign w:val="superscript"/>
          </w:rPr>
          <w:t>6</w:t>
        </w:r>
      </w:hyperlink>
      <w:bookmarkEnd w:id="63"/>
      <w:r>
        <w:rPr>
          <w:rFonts w:ascii="Times New Roman" w:hAnsi="Times New Roman"/>
          <w:color w:val="000000"/>
          <w:sz w:val="20"/>
        </w:rPr>
        <w:t xml:space="preserve"> </w:t>
      </w:r>
      <w:bookmarkStart w:id="64" w:name="co_pp_sp_711_806_1"/>
      <w:r>
        <w:rPr>
          <w:rFonts w:ascii="Times New Roman" w:hAnsi="Times New Roman"/>
          <w:b/>
          <w:color w:val="000000"/>
          <w:sz w:val="20"/>
        </w:rPr>
        <w:t>**806</w:t>
      </w:r>
      <w:bookmarkEnd w:id="64"/>
      <w:r>
        <w:rPr>
          <w:rFonts w:ascii="Times New Roman" w:hAnsi="Times New Roman"/>
          <w:color w:val="000000"/>
          <w:sz w:val="20"/>
        </w:rPr>
        <w:t xml:space="preserve"> </w:t>
      </w:r>
      <w:bookmarkStart w:id="65" w:name="co_pp_sp_914_173_1"/>
      <w:r>
        <w:rPr>
          <w:rFonts w:ascii="Times New Roman" w:hAnsi="Times New Roman"/>
          <w:b/>
          <w:color w:val="000000"/>
          <w:sz w:val="20"/>
        </w:rPr>
        <w:t>*173</w:t>
      </w:r>
      <w:bookmarkEnd w:id="65"/>
      <w:r>
        <w:rPr>
          <w:rFonts w:ascii="Times New Roman" w:hAnsi="Times New Roman"/>
          <w:color w:val="000000"/>
          <w:sz w:val="20"/>
        </w:rPr>
        <w:t xml:space="preserve"> They also contended that VMRC's decision to approve appellees' permits “ha[d] caused and will continue to cause substantial harm, great inconvenience[,] and added expense in the pursuit of [appellants'] recreational needs and interests as the direct result of the requirement that they avoid the waters near their homes now occupied by said pound nets.”</w:t>
      </w:r>
      <w:bookmarkStart w:id="66" w:name="co_fnRef_B00772026624302_ID0ENXAE_1"/>
      <w:hyperlink w:anchor="co_footnote_B00772026624302_1">
        <w:r>
          <w:rPr>
            <w:rFonts w:ascii="Times New Roman" w:hAnsi="Times New Roman"/>
            <w:color w:val="000000"/>
            <w:sz w:val="16"/>
            <w:vertAlign w:val="superscript"/>
          </w:rPr>
          <w:t>7</w:t>
        </w:r>
      </w:hyperlink>
      <w:bookmarkEnd w:id="66"/>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asked the circuit court to reverse VMRC's permitting decision and order that the pound nets be removed; or alternatively, that it reverse VMRC's decision and remand to VMRC for further review of the permit application in accordance with </w:t>
      </w:r>
      <w:hyperlink r:id="r86">
        <w:r>
          <w:rPr>
            <w:rFonts w:ascii="Times New Roman" w:hAnsi="Times New Roman"/>
            <w:color w:val="000000"/>
            <w:sz w:val="20"/>
          </w:rPr>
          <w:t>Code § 2.2–4020</w:t>
        </w:r>
      </w:hyperlink>
      <w:r>
        <w:rPr>
          <w:rFonts w:ascii="Times New Roman" w:hAnsi="Times New Roman"/>
          <w:color w:val="000000"/>
          <w:sz w:val="20"/>
        </w:rPr>
        <w:t>.</w:t>
      </w:r>
      <w:bookmarkStart w:id="67" w:name="co_fnRef_B00882026624302_ID0EO4AE_1"/>
      <w:hyperlink w:anchor="co_footnote_B00882026624302_1">
        <w:r>
          <w:rPr>
            <w:rFonts w:ascii="Times New Roman" w:hAnsi="Times New Roman"/>
            <w:color w:val="000000"/>
            <w:sz w:val="16"/>
            <w:vertAlign w:val="superscript"/>
          </w:rPr>
          <w:t>8</w:t>
        </w:r>
      </w:hyperlink>
      <w:bookmarkEnd w:id="67"/>
      <w:r>
        <w:rPr>
          <w:rFonts w:ascii="Times New Roman" w:hAnsi="Times New Roman"/>
          <w:color w:val="000000"/>
          <w:sz w:val="20"/>
        </w:rPr>
        <w:t xml:space="preserve"> Appellees demurred and moved to dismiss appellants' amended petition for appeal, again asserting that appellants failed to plead a sufficient basis to establish standing to challenge VMRC's permitting decision. Appellees contended that appellants failed to establish that they possessed an “immediate, pecuniary[,] and substantial” interest to challenge the permit, and failed to establish that VMRC's permitting decision imposed on them an obligation or burden that was different than that suffered by the general public.</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68" w:name="co_pp_sp_914_174_1"/>
      <w:r>
        <w:rPr>
          <w:rFonts w:ascii="Times New Roman" w:hAnsi="Times New Roman"/>
          <w:b/>
          <w:color w:val="000000"/>
          <w:sz w:val="20"/>
        </w:rPr>
        <w:t>*174</w:t>
      </w:r>
      <w:bookmarkEnd w:id="68"/>
      <w:r>
        <w:rPr>
          <w:rFonts w:ascii="Times New Roman" w:hAnsi="Times New Roman"/>
          <w:color w:val="000000"/>
          <w:sz w:val="20"/>
        </w:rPr>
        <w:t xml:space="preserve"> After hearing argument on the standing issue, the trial court found that appellants did not “have an immediate[,] pecuniary[,] or substantial interest” in VMRC's decision to grant the pound net permits, thereby lacking standing to challenge the permits. On November 19, 2009, the trial court entered its final order dismissing appellants' amended petition for appeal for lack of standing. This appeal followed.</w:t>
      </w:r>
    </w:p>
    <w:p>
      <w:pPr>
        <w:spacing w:before="0" w:after="0" w:line="275" w:lineRule="atLeast"/>
        <w:jc w:val="both"/>
      </w:pPr>
      <w:r>
        <w:rPr>
          <w:rFonts w:ascii="Times New Roman" w:hAnsi="Times New Roman"/>
          <w:color w:val="000000"/>
          <w:sz w:val="20"/>
        </w:rPr>
        <w:t> </w:t>
      </w:r>
    </w:p>
    <w:bookmarkStart w:id="69" w:name="co_anchor_Ia44d6a7ed34611ebbea4f0dc9fb6"/>
    <w:bookmarkStart w:id="70" w:name="co_anchor_Ia44d6a7ed34611ebbea4f0dc92"/>
    <w:p>
      <w:pPr>
        <w:spacing w:before="600" w:after="0" w:line="275" w:lineRule="atLeast"/>
        <w:jc w:val="center"/>
      </w:pPr>
      <w:r>
        <w:rPr>
          <w:rFonts w:ascii="Times New Roman" w:hAnsi="Times New Roman"/>
          <w:color w:val="000000"/>
          <w:sz w:val="20"/>
        </w:rPr>
        <w:t>II. ANALYSIS</w:t>
      </w:r>
    </w:p>
    <w:bookmarkEnd w:id="70"/>
    <w:bookmarkEnd w:id="69"/>
    <w:p>
      <w:pPr>
        <w:spacing w:before="200" w:after="0" w:line="275" w:lineRule="atLeast"/>
        <w:jc w:val="both"/>
      </w:pPr>
      <w:hyperlink w:anchor="co_anchor_F22026624302_1">
        <w:r>
          <w:rPr>
            <w:rFonts w:ascii="Times New Roman" w:hAnsi="Times New Roman"/>
            <w:b/>
            <w:color w:val="000000"/>
            <w:sz w:val="20"/>
            <w:bdr w:val="none" w:space="2"/>
            <w:vertAlign w:val="superscript"/>
          </w:rPr>
          <w:t>[2]</w:t>
        </w:r>
      </w:hyperlink>
      <w:bookmarkStart w:id="71" w:name="co_anchor_B22026624302_1"/>
      <w:bookmarkEnd w:id="71"/>
      <w:r>
        <w:rPr>
          <w:rFonts w:ascii="Times New Roman" w:hAnsi="Times New Roman"/>
          <w:color w:val="000000"/>
          <w:sz w:val="20"/>
        </w:rPr>
        <w:t xml:space="preserve"> </w:t>
      </w:r>
      <w:hyperlink w:anchor="co_anchor_F32026624302_1">
        <w:r>
          <w:rPr>
            <w:rFonts w:ascii="Times New Roman" w:hAnsi="Times New Roman"/>
            <w:b/>
            <w:color w:val="000000"/>
            <w:sz w:val="20"/>
            <w:bdr w:val="none" w:space="2"/>
            <w:vertAlign w:val="superscript"/>
          </w:rPr>
          <w:t>[3]</w:t>
        </w:r>
      </w:hyperlink>
      <w:bookmarkStart w:id="72" w:name="co_anchor_B32026624302_1"/>
      <w:bookmarkEnd w:id="72"/>
      <w:r>
        <w:rPr>
          <w:rFonts w:ascii="Times New Roman" w:hAnsi="Times New Roman"/>
          <w:color w:val="000000"/>
          <w:sz w:val="20"/>
        </w:rPr>
        <w:t xml:space="preserve"> Appellants contend that the trial court erred in granting appellees' demurrer to their petition for appeal. A demurrer “admits the truth of the facts alleged in the pleading to which it is addressed, as well as any facts that may be reasonably and fairly implied and inferred from those facts.” </w:t>
      </w:r>
      <w:hyperlink r:id="r87">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90"/>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Philip Morris USA, Inc. v. Chesapeake Bay Found., Inc.,</w:t>
        </w:r>
        <w:r>
          <w:rPr>
            <w:rFonts w:ascii="Times New Roman" w:hAnsi="Times New Roman"/>
            <w:color w:val="000000"/>
            <w:sz w:val="20"/>
          </w:rPr>
          <w:t xml:space="preserve"> 273 Va. 564, 572, 643 S.E.2d 219, 223 (2007)</w:t>
        </w:r>
      </w:hyperlink>
      <w:r>
        <w:rPr>
          <w:rFonts w:ascii="Times New Roman" w:hAnsi="Times New Roman"/>
          <w:color w:val="000000"/>
          <w:sz w:val="20"/>
        </w:rPr>
        <w:t xml:space="preserve">. “Because our review of a circuit court's decision sustaining a demurrer addresses that same legal question, we review the circuit court's judgment </w:t>
      </w:r>
      <w:r>
        <w:rPr>
          <w:rFonts w:ascii="Times New Roman" w:hAnsi="Times New Roman"/>
          <w:i/>
          <w:color w:val="000000"/>
          <w:sz w:val="20"/>
        </w:rPr>
        <w:t>de novo.</w:t>
      </w:r>
      <w:r>
        <w:rPr>
          <w:rFonts w:ascii="Times New Roman" w:hAnsi="Times New Roman"/>
          <w:color w:val="000000"/>
          <w:sz w:val="20"/>
        </w:rPr>
        <w:t xml:space="preserve">” </w:t>
      </w:r>
      <w:hyperlink r:id="r89">
        <w:r>
          <w:rPr>
            <w:rFonts w:ascii="Times New Roman" w:hAnsi="Times New Roman"/>
            <w:i/>
            <w:color w:val="000000"/>
            <w:sz w:val="20"/>
          </w:rPr>
          <w:t>The Chesapeake Bay Found., Inc. &amp; Citizens for Stumpy Lake v. Commonwealth ex rel. State Water Control Bd.,</w:t>
        </w:r>
        <w:r>
          <w:rPr>
            <w:rFonts w:ascii="Times New Roman" w:hAnsi="Times New Roman"/>
            <w:color w:val="000000"/>
            <w:sz w:val="20"/>
          </w:rPr>
          <w:t xml:space="preserve"> 46 Va.App. 104, 111, 616 S.E.2d 39, 42 (2005)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Virginia Administrative Process Act (“VAPA”) provides, in pertinent part, that</w:t>
      </w:r>
    </w:p>
    <w:p>
      <w:pPr>
        <w:spacing w:before="200" w:after="0" w:line="275" w:lineRule="atLeast"/>
        <w:ind w:left="480" w:right="480" w:firstLine="0"/>
        <w:jc w:val="both"/>
      </w:pPr>
      <w:r>
        <w:rPr>
          <w:rFonts w:ascii="Times New Roman" w:hAnsi="Times New Roman"/>
          <w:color w:val="000000"/>
          <w:sz w:val="20"/>
        </w:rPr>
        <w:t>[a]ny ... party aggrieved by and claiming unlawfulness of a case decision ... shall have a right to the direct review thereof by an appropriate and timely court action against the agency or its officers or agents in the manner provided by the rules of the Supreme Court of Virginia.</w:t>
      </w:r>
    </w:p>
    <w:p>
      <w:pPr>
        <w:spacing w:before="200" w:after="0" w:line="275" w:lineRule="atLeast"/>
        <w:jc w:val="both"/>
      </w:pPr>
      <w:hyperlink r:id="r91">
        <w:r>
          <w:rPr>
            <w:rFonts w:ascii="Times New Roman" w:hAnsi="Times New Roman"/>
            <w:color w:val="000000"/>
            <w:sz w:val="20"/>
          </w:rPr>
          <w:t>Code § 2.2–4026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6624302_1">
        <w:r>
          <w:rPr>
            <w:rFonts w:ascii="Times New Roman" w:hAnsi="Times New Roman"/>
            <w:b/>
            <w:color w:val="000000"/>
            <w:sz w:val="20"/>
            <w:bdr w:val="none" w:space="2"/>
            <w:vertAlign w:val="superscript"/>
          </w:rPr>
          <w:t>[4]</w:t>
        </w:r>
      </w:hyperlink>
      <w:bookmarkStart w:id="73" w:name="co_anchor_B42026624302_1"/>
      <w:bookmarkEnd w:id="73"/>
      <w:r>
        <w:rPr>
          <w:rFonts w:ascii="Times New Roman" w:hAnsi="Times New Roman"/>
          <w:color w:val="000000"/>
          <w:sz w:val="20"/>
        </w:rPr>
        <w:t xml:space="preserve"> </w:t>
      </w:r>
      <w:hyperlink w:anchor="co_anchor_F52026624302_1">
        <w:r>
          <w:rPr>
            <w:rFonts w:ascii="Times New Roman" w:hAnsi="Times New Roman"/>
            <w:b/>
            <w:color w:val="000000"/>
            <w:sz w:val="20"/>
            <w:bdr w:val="none" w:space="2"/>
            <w:vertAlign w:val="superscript"/>
          </w:rPr>
          <w:t>[5]</w:t>
        </w:r>
      </w:hyperlink>
      <w:bookmarkStart w:id="74" w:name="co_anchor_B52026624302_1"/>
      <w:bookmarkEnd w:id="74"/>
      <w:r>
        <w:rPr>
          <w:rFonts w:ascii="Times New Roman" w:hAnsi="Times New Roman"/>
          <w:color w:val="000000"/>
          <w:sz w:val="20"/>
        </w:rPr>
        <w:t xml:space="preserve"> </w:t>
      </w:r>
      <w:hyperlink w:anchor="co_anchor_F62026624302_1">
        <w:r>
          <w:rPr>
            <w:rFonts w:ascii="Times New Roman" w:hAnsi="Times New Roman"/>
            <w:b/>
            <w:color w:val="000000"/>
            <w:sz w:val="20"/>
            <w:bdr w:val="none" w:space="2"/>
            <w:vertAlign w:val="superscript"/>
          </w:rPr>
          <w:t>[6]</w:t>
        </w:r>
      </w:hyperlink>
      <w:bookmarkStart w:id="75" w:name="co_anchor_B62026624302_1"/>
      <w:bookmarkEnd w:id="75"/>
      <w:r>
        <w:rPr>
          <w:rFonts w:ascii="Times New Roman" w:hAnsi="Times New Roman"/>
          <w:color w:val="000000"/>
          <w:sz w:val="20"/>
        </w:rPr>
        <w:t xml:space="preserve"> To establish that a petitioner is “aggrieved” by a permit decision of VMRC, the petitioner “ ‘must show that he has an immediate, pecuniary </w:t>
      </w:r>
      <w:r>
        <w:rPr>
          <w:rFonts w:ascii="Times New Roman" w:hAnsi="Times New Roman"/>
          <w:i/>
          <w:color w:val="000000"/>
          <w:sz w:val="20"/>
        </w:rPr>
        <w:t>and</w:t>
      </w:r>
      <w:r>
        <w:rPr>
          <w:rFonts w:ascii="Times New Roman" w:hAnsi="Times New Roman"/>
          <w:color w:val="000000"/>
          <w:sz w:val="20"/>
        </w:rPr>
        <w:t xml:space="preserve"> substantial interest in the litigation, and not a remote or indirect interest.’ ” </w:t>
      </w:r>
      <w:hyperlink r:id="r92">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90"/>
                      <a:srcRect/>
                      <a:stretch>
                        <a:fillRect/>
                      </a:stretch>
                    </p:blipFill>
                    <p:spPr>
                      <a:xfrm>
                        <a:off x="0" y="0"/>
                        <a:ext cx="161925" cy="161925"/>
                      </a:xfrm>
                      <a:prstGeom prst="rect"/>
                    </p:spPr>
                  </p:pic>
                </a:graphicData>
              </a:graphic>
            </wp:inline>
          </w:drawing>
        </w:r>
      </w:hyperlink>
      <w:hyperlink r:id="r93">
        <w:r>
          <w:rPr>
            <w:rFonts w:ascii="Times New Roman" w:hAnsi="Times New Roman"/>
            <w:i/>
            <w:color w:val="000000"/>
            <w:sz w:val="20"/>
          </w:rPr>
          <w:t>Bd. of Supervisors v. Bd. of Zoning Appeals,</w:t>
        </w:r>
        <w:r>
          <w:rPr>
            <w:rFonts w:ascii="Times New Roman" w:hAnsi="Times New Roman"/>
            <w:color w:val="000000"/>
            <w:sz w:val="20"/>
          </w:rPr>
          <w:t xml:space="preserve"> 268 Va. 441, 449–50, 604 S.E.2d 7, 11 (2004)</w:t>
        </w:r>
      </w:hyperlink>
      <w:r>
        <w:rPr>
          <w:rFonts w:ascii="Times New Roman" w:hAnsi="Times New Roman"/>
          <w:color w:val="000000"/>
          <w:sz w:val="20"/>
        </w:rPr>
        <w:t xml:space="preserve"> (emphasis added) (quoting </w:t>
      </w:r>
      <w:hyperlink r:id="r94">
        <w:r>
          <w:rPr>
            <w:rFonts w:ascii="Times New Roman" w:hAnsi="Times New Roman"/>
            <w:color w:val="000000"/>
            <w:sz w:val="30"/>
          </w:rPr>
          <w:drawing>
            <wp:inline>
              <wp:extent cx="161925" cy="161925"/>
              <wp:docPr id="23" name="Picture 2"/>
              <a:graphic>
                <a:graphicData uri="http://schemas.openxmlformats.org/drawingml/2006/picture">
                  <p:pic>
                    <p:nvPicPr>
                      <p:cNvPr id="24" name="Picture 2"/>
                      <p:cNvPicPr/>
                    </p:nvPicPr>
                    <p:blipFill>
                      <a:blip r:embed="r90"/>
                      <a:srcRect/>
                      <a:stretch>
                        <a:fillRect/>
                      </a:stretch>
                    </p:blipFill>
                    <p:spPr>
                      <a:xfrm>
                        <a:off x="0" y="0"/>
                        <a:ext cx="161925" cy="161925"/>
                      </a:xfrm>
                      <a:prstGeom prst="rect"/>
                    </p:spPr>
                  </p:pic>
                </a:graphicData>
              </a:graphic>
            </wp:inline>
          </w:drawing>
        </w:r>
      </w:hyperlink>
      <w:hyperlink r:id="r95">
        <w:r>
          <w:rPr>
            <w:rFonts w:ascii="Times New Roman" w:hAnsi="Times New Roman"/>
            <w:i/>
            <w:color w:val="000000"/>
            <w:sz w:val="20"/>
          </w:rPr>
          <w:t>Virginia Beach Beautification Comm'n v. Bd. of Zoning Appeals,</w:t>
        </w:r>
        <w:r>
          <w:rPr>
            <w:rFonts w:ascii="Times New Roman" w:hAnsi="Times New Roman"/>
            <w:color w:val="000000"/>
            <w:sz w:val="20"/>
          </w:rPr>
          <w:t xml:space="preserve"> 231 Va. 415, 419, 344 S.E.2d 899, 902 (1986)</w:t>
        </w:r>
      </w:hyperlink>
      <w:r>
        <w:rPr>
          <w:rFonts w:ascii="Times New Roman" w:hAnsi="Times New Roman"/>
          <w:color w:val="000000"/>
          <w:sz w:val="20"/>
        </w:rPr>
        <w:t xml:space="preserve">). “To establish standing under </w:t>
      </w:r>
      <w:bookmarkStart w:id="76" w:name="co_pp_sp_914_175_1"/>
      <w:r>
        <w:rPr>
          <w:rFonts w:ascii="Times New Roman" w:hAnsi="Times New Roman"/>
          <w:b/>
          <w:color w:val="000000"/>
          <w:sz w:val="20"/>
        </w:rPr>
        <w:t>*175</w:t>
      </w:r>
      <w:bookmarkEnd w:id="76"/>
      <w:r>
        <w:rPr>
          <w:rFonts w:ascii="Times New Roman" w:hAnsi="Times New Roman"/>
          <w:color w:val="000000"/>
          <w:sz w:val="20"/>
        </w:rPr>
        <w:t xml:space="preserve"> this definition of ‘aggrieved,’ appellants [are] required to demonstrate that they possess [ ] either ‘an immediate, pecuniary[,] and substantial interest in the litigation’ or that they [have been] denied, ‘some personal or property right, legal or equitable,’ by VMRC's decision.” </w:t>
      </w:r>
      <w:hyperlink r:id="r96">
        <w:r>
          <w:rPr>
            <w:rFonts w:ascii="Times New Roman" w:hAnsi="Times New Roman"/>
            <w:i/>
            <w:color w:val="000000"/>
            <w:sz w:val="20"/>
          </w:rPr>
          <w:t>Biddison v. Va. Marine Res. Comm'n,</w:t>
        </w:r>
        <w:r>
          <w:rPr>
            <w:rFonts w:ascii="Times New Roman" w:hAnsi="Times New Roman"/>
            <w:color w:val="000000"/>
            <w:sz w:val="20"/>
          </w:rPr>
          <w:t xml:space="preserve"> 54 Va.App. 521, 529, 680 S.E.2d 343, 347 (2009)</w:t>
        </w:r>
      </w:hyperlink>
      <w:r>
        <w:rPr>
          <w:rFonts w:ascii="Times New Roman" w:hAnsi="Times New Roman"/>
          <w:color w:val="000000"/>
          <w:sz w:val="20"/>
        </w:rPr>
        <w:t xml:space="preserve"> (quoting </w:t>
      </w:r>
      <w:hyperlink r:id="r97">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90"/>
                      <a:srcRect/>
                      <a:stretch>
                        <a:fillRect/>
                      </a:stretch>
                    </p:blipFill>
                    <p:spPr>
                      <a:xfrm>
                        <a:off x="0" y="0"/>
                        <a:ext cx="161925" cy="161925"/>
                      </a:xfrm>
                      <a:prstGeom prst="rect"/>
                    </p:spPr>
                  </p:pic>
                </a:graphicData>
              </a:graphic>
            </wp:inline>
          </w:drawing>
        </w:r>
      </w:hyperlink>
      <w:hyperlink r:id="r98">
        <w:r>
          <w:rPr>
            <w:rFonts w:ascii="Times New Roman" w:hAnsi="Times New Roman"/>
            <w:i/>
            <w:color w:val="000000"/>
            <w:sz w:val="20"/>
          </w:rPr>
          <w:t>Bd. of Supervisors,</w:t>
        </w:r>
        <w:r>
          <w:rPr>
            <w:rFonts w:ascii="Times New Roman" w:hAnsi="Times New Roman"/>
            <w:color w:val="000000"/>
            <w:sz w:val="20"/>
          </w:rPr>
          <w:t xml:space="preserve"> 268 Va. at 449–50, 604 S.E.2d at 11).</w:t>
        </w:r>
      </w:hyperlink>
      <w:r>
        <w:rPr>
          <w:rFonts w:ascii="Times New Roman" w:hAnsi="Times New Roman"/>
          <w:color w:val="000000"/>
          <w:sz w:val="20"/>
        </w:rPr>
        <w:t xml:space="preserve"> Standing will not be conferred on a petitioner whose “sole interest ... is to advance some perceived public right or to redress some anticipated public injury </w:t>
      </w:r>
      <w:r>
        <w:rPr>
          <w:rFonts w:ascii="Times New Roman" w:hAnsi="Times New Roman"/>
          <w:i/>
          <w:color w:val="000000"/>
          <w:sz w:val="20"/>
        </w:rPr>
        <w:t>when the only wrong he has suffered is in common with other persons similarly situated.</w:t>
      </w:r>
      <w:r>
        <w:rPr>
          <w:rFonts w:ascii="Times New Roman" w:hAnsi="Times New Roman"/>
          <w:color w:val="000000"/>
          <w:sz w:val="20"/>
        </w:rPr>
        <w:t xml:space="preserve">” </w:t>
      </w:r>
      <w:hyperlink r:id="r99">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90"/>
                      <a:srcRect/>
                      <a:stretch>
                        <a:fillRect/>
                      </a:stretch>
                    </p:blipFill>
                    <p:spPr>
                      <a:xfrm>
                        <a:off x="0" y="0"/>
                        <a:ext cx="161925" cy="161925"/>
                      </a:xfrm>
                      <a:prstGeom prst="rect"/>
                    </p:spPr>
                  </p:pic>
                </a:graphicData>
              </a:graphic>
            </wp:inline>
          </w:drawing>
        </w:r>
      </w:hyperlink>
      <w:hyperlink r:id="r100">
        <w:r>
          <w:rPr>
            <w:rFonts w:ascii="Times New Roman" w:hAnsi="Times New Roman"/>
            <w:i/>
            <w:color w:val="000000"/>
            <w:sz w:val="20"/>
          </w:rPr>
          <w:t xml:space="preserve">Virginia </w:t>
        </w:r>
        <w:bookmarkStart w:id="77" w:name="co_pp_sp_711_807_1"/>
        <w:r>
          <w:rPr>
            <w:rFonts w:ascii="Times New Roman" w:hAnsi="Times New Roman"/>
            <w:b/>
            <w:color w:val="000000"/>
            <w:sz w:val="20"/>
          </w:rPr>
          <w:t>**807</w:t>
        </w:r>
        <w:bookmarkEnd w:id="77"/>
        <w:r>
          <w:rPr>
            <w:rFonts w:ascii="Times New Roman" w:hAnsi="Times New Roman"/>
            <w:i/>
            <w:color w:val="000000"/>
            <w:sz w:val="20"/>
          </w:rPr>
          <w:t xml:space="preserve"> Beach Beautification Comm'n,</w:t>
        </w:r>
        <w:r>
          <w:rPr>
            <w:rFonts w:ascii="Times New Roman" w:hAnsi="Times New Roman"/>
            <w:color w:val="000000"/>
            <w:sz w:val="20"/>
          </w:rPr>
          <w:t xml:space="preserve"> 231 Va. at 419, 344 S.E.2d at 902</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6624302_1">
        <w:r>
          <w:rPr>
            <w:rFonts w:ascii="Times New Roman" w:hAnsi="Times New Roman"/>
            <w:b/>
            <w:color w:val="000000"/>
            <w:sz w:val="20"/>
            <w:bdr w:val="none" w:space="2"/>
            <w:vertAlign w:val="superscript"/>
          </w:rPr>
          <w:t>[7]</w:t>
        </w:r>
      </w:hyperlink>
      <w:bookmarkStart w:id="78" w:name="co_anchor_B72026624302_1"/>
      <w:bookmarkEnd w:id="78"/>
      <w:r>
        <w:rPr>
          <w:rFonts w:ascii="Times New Roman" w:hAnsi="Times New Roman"/>
          <w:color w:val="000000"/>
          <w:sz w:val="20"/>
        </w:rPr>
        <w:t xml:space="preserve"> </w:t>
      </w:r>
      <w:hyperlink w:anchor="co_anchor_F82026624302_1">
        <w:r>
          <w:rPr>
            <w:rFonts w:ascii="Times New Roman" w:hAnsi="Times New Roman"/>
            <w:b/>
            <w:color w:val="000000"/>
            <w:sz w:val="20"/>
            <w:bdr w:val="none" w:space="2"/>
            <w:vertAlign w:val="superscript"/>
          </w:rPr>
          <w:t>[8]</w:t>
        </w:r>
      </w:hyperlink>
      <w:bookmarkStart w:id="79" w:name="co_anchor_B82026624302_1"/>
      <w:bookmarkEnd w:id="79"/>
      <w:r>
        <w:rPr>
          <w:rFonts w:ascii="Times New Roman" w:hAnsi="Times New Roman"/>
          <w:color w:val="000000"/>
          <w:sz w:val="20"/>
        </w:rPr>
        <w:t xml:space="preserve"> While recreational interests may suffice to confer standing under VAPA if those interests are also “immediate, pecuniary, and substantial,” </w:t>
      </w:r>
      <w:hyperlink r:id="r101">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90"/>
                      <a:srcRect/>
                      <a:stretch>
                        <a:fillRect/>
                      </a:stretch>
                    </p:blipFill>
                    <p:spPr>
                      <a:xfrm>
                        <a:off x="0" y="0"/>
                        <a:ext cx="161925" cy="161925"/>
                      </a:xfrm>
                      <a:prstGeom prst="rect"/>
                    </p:spPr>
                  </p:pic>
                </a:graphicData>
              </a:graphic>
            </wp:inline>
          </w:drawing>
        </w:r>
      </w:hyperlink>
      <w:hyperlink r:id="r102">
        <w:r>
          <w:rPr>
            <w:rFonts w:ascii="Times New Roman" w:hAnsi="Times New Roman"/>
            <w:i/>
            <w:color w:val="000000"/>
            <w:sz w:val="20"/>
          </w:rPr>
          <w:t>id.</w:t>
        </w:r>
        <w:r>
          <w:rPr>
            <w:rFonts w:ascii="Times New Roman" w:hAnsi="Times New Roman"/>
            <w:color w:val="000000"/>
            <w:sz w:val="20"/>
          </w:rPr>
          <w:t xml:space="preserve"> at 420, 344 S.E.2d at 903,</w:t>
        </w:r>
      </w:hyperlink>
      <w:r>
        <w:rPr>
          <w:rFonts w:ascii="Times New Roman" w:hAnsi="Times New Roman"/>
          <w:color w:val="000000"/>
          <w:sz w:val="20"/>
        </w:rPr>
        <w:t xml:space="preserve"> such interests nonetheless must be distinguishable from interests “shared generally with the public,” </w:t>
      </w:r>
      <w:hyperlink r:id="r103">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111"/>
                      <a:srcRect/>
                      <a:stretch>
                        <a:fillRect/>
                      </a:stretch>
                    </p:blipFill>
                    <p:spPr>
                      <a:xfrm>
                        <a:off x="0" y="0"/>
                        <a:ext cx="161925" cy="161925"/>
                      </a:xfrm>
                      <a:prstGeom prst="rect"/>
                    </p:spPr>
                  </p:pic>
                </a:graphicData>
              </a:graphic>
            </wp:inline>
          </w:drawing>
        </w:r>
      </w:hyperlink>
      <w:hyperlink r:id="r104">
        <w:r>
          <w:rPr>
            <w:rFonts w:ascii="Times New Roman" w:hAnsi="Times New Roman"/>
            <w:i/>
            <w:color w:val="000000"/>
            <w:sz w:val="20"/>
          </w:rPr>
          <w:t>Va. Marine Res. Comm'n v. Clark,</w:t>
        </w:r>
        <w:r>
          <w:rPr>
            <w:rFonts w:ascii="Times New Roman" w:hAnsi="Times New Roman"/>
            <w:color w:val="000000"/>
            <w:sz w:val="20"/>
          </w:rPr>
          <w:t xml:space="preserve"> 281 Va. 679, 688, 709 S.E.2d 150, 155 (2011)</w:t>
        </w:r>
      </w:hyperlink>
      <w:r>
        <w:rPr>
          <w:rFonts w:ascii="Times New Roman" w:hAnsi="Times New Roman"/>
          <w:color w:val="000000"/>
          <w:sz w:val="20"/>
        </w:rPr>
        <w:t xml:space="preserve">. Here, appellants' interests are indistinguishable from those of any boater, kayaker, swimmer, or recreational fisher in the Chesapeake Bay Bridge–Tunnel and Lynnhaven Inlet area of the Chesapeake Bay. Appellants are not burdened “to any greater extent than” any other similarly situated party who “finds itself in disagreement with” the VMRC's permitting decision. </w:t>
      </w:r>
      <w:hyperlink r:id="r105">
        <w:r>
          <w:rPr>
            <w:rFonts w:ascii="Times New Roman" w:hAnsi="Times New Roman"/>
            <w:i/>
            <w:color w:val="000000"/>
            <w:sz w:val="20"/>
          </w:rPr>
          <w:t>Virginia Employment Comm'n v. City of Virginia Beach,</w:t>
        </w:r>
        <w:r>
          <w:rPr>
            <w:rFonts w:ascii="Times New Roman" w:hAnsi="Times New Roman"/>
            <w:color w:val="000000"/>
            <w:sz w:val="20"/>
          </w:rPr>
          <w:t xml:space="preserve"> 222 Va. 728, 733, 284 S.E.2d 595, 598 (1981)</w:t>
        </w:r>
      </w:hyperlink>
      <w:r>
        <w:rPr>
          <w:rFonts w:ascii="Times New Roman" w:hAnsi="Times New Roman"/>
          <w:color w:val="000000"/>
          <w:sz w:val="20"/>
        </w:rPr>
        <w:t xml:space="preserve">. Because appellants have failed to plead sufficient facts to show that they have an “ ‘immediate, pecuniary[,] and substantial interest in the litigation,’ ” </w:t>
      </w:r>
      <w:hyperlink r:id="r106">
        <w:r>
          <w:rPr>
            <w:rFonts w:ascii="Times New Roman" w:hAnsi="Times New Roman"/>
            <w:i/>
            <w:color w:val="000000"/>
            <w:sz w:val="20"/>
          </w:rPr>
          <w:t>Biddison,</w:t>
        </w:r>
        <w:r>
          <w:rPr>
            <w:rFonts w:ascii="Times New Roman" w:hAnsi="Times New Roman"/>
            <w:color w:val="000000"/>
            <w:sz w:val="20"/>
          </w:rPr>
          <w:t xml:space="preserve"> 54 Va.App. at 528, 680 S.E.2d at 347</w:t>
        </w:r>
      </w:hyperlink>
      <w:r>
        <w:rPr>
          <w:rFonts w:ascii="Times New Roman" w:hAnsi="Times New Roman"/>
          <w:color w:val="000000"/>
          <w:sz w:val="20"/>
        </w:rPr>
        <w:t xml:space="preserve"> (quoting </w:t>
      </w:r>
      <w:hyperlink r:id="r107">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90"/>
                      <a:srcRect/>
                      <a:stretch>
                        <a:fillRect/>
                      </a:stretch>
                    </p:blipFill>
                    <p:spPr>
                      <a:xfrm>
                        <a:off x="0" y="0"/>
                        <a:ext cx="161925" cy="161925"/>
                      </a:xfrm>
                      <a:prstGeom prst="rect"/>
                    </p:spPr>
                  </p:pic>
                </a:graphicData>
              </a:graphic>
            </wp:inline>
          </w:drawing>
        </w:r>
      </w:hyperlink>
      <w:hyperlink r:id="r108">
        <w:r>
          <w:rPr>
            <w:rFonts w:ascii="Times New Roman" w:hAnsi="Times New Roman"/>
            <w:i/>
            <w:color w:val="000000"/>
            <w:sz w:val="20"/>
          </w:rPr>
          <w:t>Bd. of Supervisors,</w:t>
        </w:r>
        <w:r>
          <w:rPr>
            <w:rFonts w:ascii="Times New Roman" w:hAnsi="Times New Roman"/>
            <w:color w:val="000000"/>
            <w:sz w:val="20"/>
          </w:rPr>
          <w:t xml:space="preserve"> 268 Va. at 449, 604 S.E.2d at 11),</w:t>
        </w:r>
      </w:hyperlink>
      <w:r>
        <w:rPr>
          <w:rFonts w:ascii="Times New Roman" w:hAnsi="Times New Roman"/>
          <w:color w:val="000000"/>
          <w:sz w:val="20"/>
        </w:rPr>
        <w:t xml:space="preserve"> that is not shared by “other persons similarly situated,” </w:t>
      </w:r>
      <w:hyperlink r:id="r109">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90"/>
                      <a:srcRect/>
                      <a:stretch>
                        <a:fillRect/>
                      </a:stretch>
                    </p:blipFill>
                    <p:spPr>
                      <a:xfrm>
                        <a:off x="0" y="0"/>
                        <a:ext cx="161925" cy="161925"/>
                      </a:xfrm>
                      <a:prstGeom prst="rect"/>
                    </p:spPr>
                  </p:pic>
                </a:graphicData>
              </a:graphic>
            </wp:inline>
          </w:drawing>
        </w:r>
      </w:hyperlink>
      <w:hyperlink r:id="r110">
        <w:r>
          <w:rPr>
            <w:rFonts w:ascii="Times New Roman" w:hAnsi="Times New Roman"/>
            <w:i/>
            <w:color w:val="000000"/>
            <w:sz w:val="20"/>
          </w:rPr>
          <w:t>Virginia Beach Beautification Comm'n,</w:t>
        </w:r>
        <w:r>
          <w:rPr>
            <w:rFonts w:ascii="Times New Roman" w:hAnsi="Times New Roman"/>
            <w:color w:val="000000"/>
            <w:sz w:val="20"/>
          </w:rPr>
          <w:t xml:space="preserve"> 231 Va. at 419, 344 S.E.2d at 902,</w:t>
        </w:r>
      </w:hyperlink>
      <w:r>
        <w:rPr>
          <w:rFonts w:ascii="Times New Roman" w:hAnsi="Times New Roman"/>
          <w:color w:val="000000"/>
          <w:sz w:val="20"/>
        </w:rPr>
        <w:t xml:space="preserve"> we conclude they have not established standing to challenge VMRC's permitting decision in the circuit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these reasons, we affirm the judgment of the circuit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Affirmed.</w:t>
      </w:r>
    </w:p>
    <w:p>
      <w:pPr>
        <w:spacing w:before="0" w:after="0" w:line="275" w:lineRule="atLeast"/>
        <w:jc w:val="both"/>
      </w:pPr>
      <w:r>
        <w:rPr>
          <w:rFonts w:ascii="Times New Roman" w:hAnsi="Times New Roman"/>
          <w:color w:val="000000"/>
          <w:sz w:val="20"/>
        </w:rPr>
        <w:t> </w:t>
      </w:r>
    </w:p>
    <w:bookmarkStart w:id="80" w:name="co_allCitations_1"/>
    <w:p>
      <w:pPr>
        <w:keepNext/>
        <w:keepLines/>
        <w:spacing w:before="200" w:after="0" w:line="275" w:lineRule="atLeast"/>
        <w:jc w:val="both"/>
      </w:pPr>
      <w:r>
        <w:rPr>
          <w:rFonts w:ascii="Times New Roman" w:hAnsi="Times New Roman"/>
          <w:b/>
          <w:color w:val="212121"/>
          <w:sz w:val="20"/>
        </w:rPr>
        <w:t>All Citations</w:t>
      </w:r>
    </w:p>
    <w:bookmarkEnd w:id="80"/>
    <w:p>
      <w:pPr>
        <w:spacing w:before="200" w:after="0" w:line="275" w:lineRule="atLeast"/>
        <w:jc w:val="both"/>
      </w:pPr>
      <w:r>
        <w:rPr>
          <w:rFonts w:ascii="Times New Roman" w:hAnsi="Times New Roman"/>
          <w:color w:val="000000"/>
          <w:sz w:val="20"/>
        </w:rPr>
        <w:t>59 Va.App. 168, 717 S.E.2d 803</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81" w:name="co_footnote_B00112026624302_1"/>
            <w:hyperlink w:anchor="co_fnRef_B00112026624302_ID0EKQAE_1">
              <w:r>
                <w:rPr>
                  <w:rFonts w:ascii="Times New Roman" w:hAnsi="Times New Roman"/>
                  <w:color w:val="000000"/>
                  <w:sz w:val="20"/>
                  <w:vertAlign w:val="superscript"/>
                </w:rPr>
                <w:t>1</w:t>
              </w:r>
            </w:hyperlink>
            <w:bookmarkEnd w:id="81"/>
          </w:p>
        </w:tc>
        <w:tc>
          <w:tcPr>
            <w:vAlign w:val="top"/>
          </w:tcPr>
          <w:p>
            <w:pPr>
              <w:spacing w:before="0" w:after="0" w:line="275" w:lineRule="atLeast"/>
              <w:jc w:val="both"/>
            </w:pPr>
            <w:r>
              <w:rPr>
                <w:rFonts w:ascii="Times New Roman" w:hAnsi="Times New Roman"/>
                <w:color w:val="000000"/>
                <w:sz w:val="20"/>
              </w:rPr>
              <w:t>The record is unclear as to exactly when appellees applied for the permits.</w:t>
            </w:r>
          </w:p>
        </w:tc>
      </w:tr>
      <w:tr>
        <w:tblPrEx/>
        <w:trPr/>
        <w:tc>
          <w:tcPr>
            <w:vAlign w:val="top"/>
          </w:tcPr>
          <w:p>
            <w:pPr>
              <w:spacing w:before="0" w:after="0" w:line="275" w:lineRule="atLeast"/>
            </w:pPr>
            <w:bookmarkStart w:id="82" w:name="co_footnote_B00222026624302_1"/>
            <w:hyperlink w:anchor="co_fnRef_B00222026624302_ID0EUSAE_1">
              <w:r>
                <w:rPr>
                  <w:rFonts w:ascii="Times New Roman" w:hAnsi="Times New Roman"/>
                  <w:color w:val="000000"/>
                  <w:sz w:val="20"/>
                  <w:vertAlign w:val="superscript"/>
                </w:rPr>
                <w:t>2</w:t>
              </w:r>
            </w:hyperlink>
            <w:bookmarkEnd w:id="82"/>
          </w:p>
        </w:tc>
        <w:tc>
          <w:tcPr>
            <w:vAlign w:val="top"/>
          </w:tcPr>
          <w:p>
            <w:pPr>
              <w:spacing w:before="0" w:after="0" w:line="275" w:lineRule="atLeast"/>
              <w:jc w:val="both"/>
            </w:pPr>
            <w:r>
              <w:rPr>
                <w:rFonts w:ascii="Times New Roman" w:hAnsi="Times New Roman"/>
                <w:color w:val="000000"/>
                <w:sz w:val="20"/>
              </w:rPr>
              <w:t xml:space="preserve">Appellees contend appellants erred in filing suit in the circuit court pursuant to </w:t>
            </w:r>
            <w:hyperlink r:id="r112">
              <w:r>
                <w:rPr>
                  <w:rFonts w:ascii="Times New Roman" w:hAnsi="Times New Roman"/>
                  <w:color w:val="000000"/>
                  <w:sz w:val="20"/>
                </w:rPr>
                <w:t>Code § 28.2–1205</w:t>
              </w:r>
            </w:hyperlink>
            <w:r>
              <w:rPr>
                <w:rFonts w:ascii="Times New Roman" w:hAnsi="Times New Roman"/>
                <w:color w:val="000000"/>
                <w:sz w:val="20"/>
              </w:rPr>
              <w:t xml:space="preserve">, which appears in Title 28.2, Subtitle III, “Habitat.” Appellees assert VMRC issued the subject permits pursuant to Title 28.2, Subtitle II, “Fisheries,” and that </w:t>
            </w:r>
            <w:hyperlink r:id="r113">
              <w:r>
                <w:rPr>
                  <w:rFonts w:ascii="Times New Roman" w:hAnsi="Times New Roman"/>
                  <w:color w:val="000000"/>
                  <w:sz w:val="20"/>
                </w:rPr>
                <w:t>Code § 28.2–1205</w:t>
              </w:r>
            </w:hyperlink>
            <w:r>
              <w:rPr>
                <w:rFonts w:ascii="Times New Roman" w:hAnsi="Times New Roman"/>
                <w:color w:val="000000"/>
                <w:sz w:val="20"/>
              </w:rPr>
              <w:t xml:space="preserve"> applies solely to judicial review of the VMRC's decisions pertaining to Subtitle III, “Habitat.” Appellees concede, however, that the standard for obtaining judicial review of VMRC's permitting decision is the same under both subtitles.</w:t>
            </w:r>
          </w:p>
        </w:tc>
      </w:tr>
      <w:tr>
        <w:tblPrEx/>
        <w:trPr/>
        <w:tc>
          <w:tcPr>
            <w:vAlign w:val="top"/>
          </w:tcPr>
          <w:p>
            <w:pPr>
              <w:spacing w:before="0" w:after="0" w:line="275" w:lineRule="atLeast"/>
            </w:pPr>
            <w:bookmarkStart w:id="83" w:name="co_footnote_B00332026624302_1"/>
            <w:hyperlink w:anchor="co_fnRef_B00332026624302_ID0EMVAE_1">
              <w:r>
                <w:rPr>
                  <w:rFonts w:ascii="Times New Roman" w:hAnsi="Times New Roman"/>
                  <w:color w:val="000000"/>
                  <w:sz w:val="20"/>
                  <w:vertAlign w:val="superscript"/>
                </w:rPr>
                <w:t>3</w:t>
              </w:r>
            </w:hyperlink>
            <w:bookmarkEnd w:id="83"/>
          </w:p>
        </w:tc>
        <w:tc>
          <w:tcPr>
            <w:vAlign w:val="top"/>
          </w:tcPr>
          <w:p>
            <w:pPr>
              <w:spacing w:before="0" w:after="0" w:line="275" w:lineRule="atLeast"/>
              <w:jc w:val="both"/>
            </w:pPr>
            <w:r>
              <w:rPr>
                <w:rFonts w:ascii="Times New Roman" w:hAnsi="Times New Roman"/>
                <w:color w:val="000000"/>
                <w:sz w:val="20"/>
              </w:rPr>
              <w:t>Appellants' counsel told the trial court on October 15, 2009 that</w:t>
            </w:r>
          </w:p>
          <w:p>
            <w:pPr>
              <w:pBdr>
                <w:left w:val="none" w:space="10"/>
              </w:pBdr>
              <w:spacing w:before="0" w:after="0" w:line="275" w:lineRule="atLeast"/>
              <w:ind w:left="200" w:right="0" w:firstLine="0"/>
              <w:jc w:val="both"/>
            </w:pPr>
            <w:r>
              <w:rPr>
                <w:rFonts w:ascii="Times New Roman" w:hAnsi="Times New Roman"/>
                <w:color w:val="000000"/>
                <w:sz w:val="20"/>
              </w:rPr>
              <w:t>[t]he only difference between the amended petition and the first one is I put about a page worth of the specific activities that the petitioners engaged in regularly in the area now occupied by these pound nets and were prevented from doing now as a result of this permit, which gives them standing....</w:t>
            </w:r>
          </w:p>
        </w:tc>
      </w:tr>
      <w:tr>
        <w:tblPrEx/>
        <w:trPr/>
        <w:tc>
          <w:tcPr>
            <w:vAlign w:val="top"/>
          </w:tcPr>
          <w:p>
            <w:pPr>
              <w:spacing w:before="0" w:after="0" w:line="275" w:lineRule="atLeast"/>
            </w:pPr>
            <w:bookmarkStart w:id="84" w:name="co_footnote_B00442026624302_1"/>
            <w:hyperlink w:anchor="co_fnRef_B00442026624302_ID0EDWAE_1">
              <w:r>
                <w:rPr>
                  <w:rFonts w:ascii="Times New Roman" w:hAnsi="Times New Roman"/>
                  <w:color w:val="000000"/>
                  <w:sz w:val="20"/>
                  <w:vertAlign w:val="superscript"/>
                </w:rPr>
                <w:t>4</w:t>
              </w:r>
            </w:hyperlink>
            <w:bookmarkEnd w:id="84"/>
          </w:p>
        </w:tc>
        <w:tc>
          <w:tcPr>
            <w:vAlign w:val="top"/>
          </w:tcPr>
          <w:p>
            <w:pPr>
              <w:spacing w:before="0" w:after="0" w:line="275" w:lineRule="atLeast"/>
              <w:jc w:val="both"/>
            </w:pPr>
            <w:hyperlink r:id="r114">
              <w:r>
                <w:rPr>
                  <w:rFonts w:ascii="Times New Roman" w:hAnsi="Times New Roman"/>
                  <w:color w:val="000000"/>
                  <w:sz w:val="20"/>
                </w:rPr>
                <w:t>Code § 28.2–1205</w:t>
              </w:r>
            </w:hyperlink>
            <w:r>
              <w:rPr>
                <w:rFonts w:ascii="Times New Roman" w:hAnsi="Times New Roman"/>
                <w:color w:val="000000"/>
                <w:sz w:val="20"/>
              </w:rPr>
              <w:t xml:space="preserve"> describes the procedure VMRC “shall” follow in deciding whether to grant a permit for the use of state-owned bottomlands. </w:t>
            </w:r>
            <w:hyperlink r:id="r115">
              <w:r>
                <w:rPr>
                  <w:rFonts w:ascii="Times New Roman" w:hAnsi="Times New Roman"/>
                  <w:color w:val="000000"/>
                  <w:sz w:val="20"/>
                </w:rPr>
                <w:t>Code § 2.2–4020(E)</w:t>
              </w:r>
            </w:hyperlink>
            <w:r>
              <w:rPr>
                <w:rFonts w:ascii="Times New Roman" w:hAnsi="Times New Roman"/>
                <w:color w:val="000000"/>
                <w:sz w:val="20"/>
              </w:rPr>
              <w:t xml:space="preserve"> provides that, following formal proceedings, agency decisions “shall be served upon the parties,” together with the agency's findings and “the basic law under which the agency is operating.”</w:t>
            </w:r>
          </w:p>
        </w:tc>
      </w:tr>
      <w:tr>
        <w:tblPrEx/>
        <w:trPr/>
        <w:tc>
          <w:tcPr>
            <w:vAlign w:val="top"/>
          </w:tcPr>
          <w:p>
            <w:pPr>
              <w:spacing w:before="0" w:after="0" w:line="275" w:lineRule="atLeast"/>
            </w:pPr>
            <w:bookmarkStart w:id="85" w:name="co_footnote_B00552026624302_1"/>
            <w:hyperlink w:anchor="co_fnRef_B00552026624302_ID0EKWAE_1">
              <w:r>
                <w:rPr>
                  <w:rFonts w:ascii="Times New Roman" w:hAnsi="Times New Roman"/>
                  <w:color w:val="000000"/>
                  <w:sz w:val="20"/>
                  <w:vertAlign w:val="superscript"/>
                </w:rPr>
                <w:t>5</w:t>
              </w:r>
            </w:hyperlink>
            <w:bookmarkEnd w:id="85"/>
          </w:p>
        </w:tc>
        <w:tc>
          <w:tcPr>
            <w:vAlign w:val="top"/>
          </w:tcPr>
          <w:p>
            <w:pPr>
              <w:spacing w:before="0" w:after="0" w:line="275" w:lineRule="atLeast"/>
              <w:jc w:val="both"/>
            </w:pPr>
            <w:r>
              <w:rPr>
                <w:rFonts w:ascii="Times New Roman" w:hAnsi="Times New Roman"/>
                <w:color w:val="000000"/>
                <w:sz w:val="20"/>
              </w:rPr>
              <w:t>The public trust doctrine provides, in pertinent part:</w:t>
            </w:r>
          </w:p>
          <w:p>
            <w:pPr>
              <w:pBdr>
                <w:left w:val="none" w:space="10"/>
              </w:pBdr>
              <w:spacing w:before="0" w:after="0" w:line="275" w:lineRule="atLeast"/>
              <w:ind w:left="200" w:right="0" w:firstLine="0"/>
              <w:jc w:val="both"/>
            </w:pPr>
            <w:r>
              <w:rPr>
                <w:rFonts w:ascii="Times New Roman" w:hAnsi="Times New Roman"/>
                <w:color w:val="000000"/>
                <w:sz w:val="20"/>
              </w:rPr>
              <w:t>The state holds the land lying beneath public waters as trustee for the benefit of all citizens. As trustee, the state is responsible for proper management of the resource to ensure the preservation and protection of all appropriate current and potential future uses, including potentially conflicting uses, by the public.</w:t>
            </w:r>
          </w:p>
          <w:p>
            <w:pPr>
              <w:spacing w:before="0" w:after="0" w:line="275" w:lineRule="atLeast"/>
              <w:jc w:val="both"/>
            </w:pPr>
            <w:hyperlink r:id="r116">
              <w:r>
                <w:rPr>
                  <w:rFonts w:ascii="Times New Roman" w:hAnsi="Times New Roman"/>
                  <w:i/>
                  <w:color w:val="000000"/>
                  <w:sz w:val="20"/>
                </w:rPr>
                <w:t>Palmer v. Commonwealth Marine Res. Comm'n,</w:t>
              </w:r>
              <w:r>
                <w:rPr>
                  <w:rFonts w:ascii="Times New Roman" w:hAnsi="Times New Roman"/>
                  <w:color w:val="000000"/>
                  <w:sz w:val="20"/>
                </w:rPr>
                <w:t xml:space="preserve"> 48 Va.App. 78, 88, 628 S.E.2d 84, 89 (2006)</w:t>
              </w:r>
            </w:hyperlink>
            <w:r>
              <w:rPr>
                <w:rFonts w:ascii="Times New Roman" w:hAnsi="Times New Roman"/>
                <w:color w:val="000000"/>
                <w:sz w:val="20"/>
              </w:rPr>
              <w:t>.</w:t>
            </w:r>
          </w:p>
        </w:tc>
      </w:tr>
      <w:tr>
        <w:tblPrEx/>
        <w:trPr/>
        <w:tc>
          <w:tcPr>
            <w:vAlign w:val="top"/>
          </w:tcPr>
          <w:p>
            <w:pPr>
              <w:spacing w:before="0" w:after="0" w:line="275" w:lineRule="atLeast"/>
            </w:pPr>
            <w:bookmarkStart w:id="86" w:name="co_footnote_B00662026624302_1"/>
            <w:hyperlink w:anchor="co_fnRef_B00662026624302_ID0ETWAE_1">
              <w:r>
                <w:rPr>
                  <w:rFonts w:ascii="Times New Roman" w:hAnsi="Times New Roman"/>
                  <w:color w:val="000000"/>
                  <w:sz w:val="20"/>
                  <w:vertAlign w:val="superscript"/>
                </w:rPr>
                <w:t>6</w:t>
              </w:r>
            </w:hyperlink>
            <w:bookmarkEnd w:id="86"/>
          </w:p>
        </w:tc>
        <w:tc>
          <w:tcPr>
            <w:vAlign w:val="top"/>
          </w:tcPr>
          <w:p>
            <w:pPr>
              <w:spacing w:before="0" w:after="0" w:line="275" w:lineRule="atLeast"/>
              <w:jc w:val="both"/>
            </w:pPr>
            <w:hyperlink r:id="r117">
              <w:r>
                <w:rPr>
                  <w:rFonts w:ascii="Times New Roman" w:hAnsi="Times New Roman"/>
                  <w:color w:val="000000"/>
                  <w:sz w:val="20"/>
                </w:rPr>
                <w:t>Article XI, Section 1 of the Virginia Constitution</w:t>
              </w:r>
            </w:hyperlink>
            <w:r>
              <w:rPr>
                <w:rFonts w:ascii="Times New Roman" w:hAnsi="Times New Roman"/>
                <w:color w:val="000000"/>
                <w:sz w:val="20"/>
              </w:rPr>
              <w:t xml:space="preserve"> provides that “it shall be the Commonwealth's policy to protect its ... waters from pollution, impairment, or destruction, for the benefit, enjoyment, and general welfare of the people of the Commonwealth.”</w:t>
            </w:r>
          </w:p>
        </w:tc>
      </w:tr>
      <w:tr>
        <w:tblPrEx/>
        <w:trPr/>
        <w:tc>
          <w:tcPr>
            <w:vAlign w:val="top"/>
          </w:tcPr>
          <w:p>
            <w:pPr>
              <w:spacing w:before="0" w:after="0" w:line="275" w:lineRule="atLeast"/>
            </w:pPr>
            <w:bookmarkStart w:id="87" w:name="co_footnote_B00772026624302_1"/>
            <w:hyperlink w:anchor="co_fnRef_B00772026624302_ID0ENXAE_1">
              <w:r>
                <w:rPr>
                  <w:rFonts w:ascii="Times New Roman" w:hAnsi="Times New Roman"/>
                  <w:color w:val="000000"/>
                  <w:sz w:val="20"/>
                  <w:vertAlign w:val="superscript"/>
                </w:rPr>
                <w:t>7</w:t>
              </w:r>
            </w:hyperlink>
            <w:bookmarkEnd w:id="87"/>
          </w:p>
        </w:tc>
        <w:tc>
          <w:tcPr>
            <w:vAlign w:val="top"/>
          </w:tcPr>
          <w:p>
            <w:pPr>
              <w:spacing w:before="0" w:after="0" w:line="275" w:lineRule="atLeast"/>
              <w:jc w:val="both"/>
            </w:pPr>
            <w:r>
              <w:rPr>
                <w:rFonts w:ascii="Times New Roman" w:hAnsi="Times New Roman"/>
                <w:color w:val="000000"/>
                <w:sz w:val="20"/>
              </w:rPr>
              <w:t>Appellants are not riparian property owners. Appellant Wills resides one block from the Chesapeake Bay beachfront.</w:t>
            </w:r>
          </w:p>
        </w:tc>
      </w:tr>
      <w:tr>
        <w:tblPrEx/>
        <w:trPr/>
        <w:tc>
          <w:tcPr>
            <w:vAlign w:val="top"/>
          </w:tcPr>
          <w:p>
            <w:pPr>
              <w:spacing w:before="0" w:after="0" w:line="275" w:lineRule="atLeast"/>
            </w:pPr>
            <w:bookmarkStart w:id="88" w:name="co_footnote_B00882026624302_1"/>
            <w:hyperlink w:anchor="co_fnRef_B00882026624302_ID0EO4AE_1">
              <w:r>
                <w:rPr>
                  <w:rFonts w:ascii="Times New Roman" w:hAnsi="Times New Roman"/>
                  <w:color w:val="000000"/>
                  <w:sz w:val="20"/>
                  <w:vertAlign w:val="superscript"/>
                </w:rPr>
                <w:t>8</w:t>
              </w:r>
            </w:hyperlink>
            <w:bookmarkEnd w:id="88"/>
          </w:p>
        </w:tc>
        <w:tc>
          <w:tcPr>
            <w:vAlign w:val="top"/>
          </w:tcPr>
          <w:p>
            <w:pPr>
              <w:spacing w:before="0" w:after="0" w:line="275" w:lineRule="atLeast"/>
              <w:jc w:val="both"/>
            </w:pPr>
            <w:hyperlink r:id="r118">
              <w:r>
                <w:rPr>
                  <w:rFonts w:ascii="Times New Roman" w:hAnsi="Times New Roman"/>
                  <w:color w:val="000000"/>
                  <w:sz w:val="20"/>
                </w:rPr>
                <w:t>Code § 2.2–4020(A)</w:t>
              </w:r>
            </w:hyperlink>
            <w:r>
              <w:rPr>
                <w:rFonts w:ascii="Times New Roman" w:hAnsi="Times New Roman"/>
                <w:color w:val="000000"/>
                <w:sz w:val="20"/>
              </w:rPr>
              <w:t xml:space="preserve"> of the Virginia Administrative Process Act provides that</w:t>
            </w:r>
          </w:p>
          <w:p>
            <w:pPr>
              <w:pBdr>
                <w:left w:val="none" w:space="10"/>
              </w:pBdr>
              <w:spacing w:before="0" w:after="0" w:line="275" w:lineRule="atLeast"/>
              <w:ind w:left="200" w:right="0" w:firstLine="0"/>
              <w:jc w:val="both"/>
            </w:pPr>
            <w:r>
              <w:rPr>
                <w:rFonts w:ascii="Times New Roman" w:hAnsi="Times New Roman"/>
                <w:color w:val="000000"/>
                <w:sz w:val="20"/>
              </w:rPr>
              <w:t xml:space="preserve">[t]he agency shall afford opportunity for the formal taking of evidence upon relevant fact issues in any case in which the basic laws provide expressly for decisions upon or after hearing and may do so in any case to the extent that informal procedures under </w:t>
            </w:r>
            <w:hyperlink r:id="r119">
              <w:r>
                <w:rPr>
                  <w:rFonts w:ascii="Times New Roman" w:hAnsi="Times New Roman"/>
                  <w:color w:val="000000"/>
                  <w:sz w:val="20"/>
                </w:rPr>
                <w:t>[Code] § 2.2–4019</w:t>
              </w:r>
            </w:hyperlink>
            <w:r>
              <w:rPr>
                <w:rFonts w:ascii="Times New Roman" w:hAnsi="Times New Roman"/>
                <w:color w:val="000000"/>
                <w:sz w:val="20"/>
              </w:rPr>
              <w:t xml:space="preserve"> have not been had or have failed to dispose of a case by consent.</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37" name="Picture 0" descr="Westlaw Logo"/>
                <a:graphic>
                  <a:graphicData uri="http://schemas.openxmlformats.org/drawingml/2006/picture">
                    <p:pic>
                      <p:nvPicPr>
                        <p:cNvPr id="3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Wills v. Virginia Marine Resources Com'n, 59 Va.App. 168 (2011)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717 S.E.2d 803</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